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7559" w14:textId="77777777" w:rsidR="00F3769A" w:rsidRPr="009E4D2D" w:rsidRDefault="00F3769A" w:rsidP="00554294">
      <w:pPr>
        <w:spacing w:after="0" w:line="240" w:lineRule="auto"/>
        <w:jc w:val="right"/>
        <w:rPr>
          <w:rFonts w:asciiTheme="majorHAnsi" w:hAnsiTheme="majorHAnsi"/>
          <w:b/>
          <w:bCs/>
          <w:lang w:val="uk-UA"/>
        </w:rPr>
      </w:pPr>
    </w:p>
    <w:p w14:paraId="14E5B17C" w14:textId="77777777" w:rsidR="00F3769A" w:rsidRDefault="00F3769A" w:rsidP="00554294">
      <w:pPr>
        <w:spacing w:after="0" w:line="240" w:lineRule="auto"/>
        <w:jc w:val="right"/>
        <w:rPr>
          <w:rFonts w:asciiTheme="majorHAnsi" w:hAnsiTheme="majorHAnsi"/>
          <w:b/>
          <w:bCs/>
          <w:lang w:val="ru-RU"/>
        </w:rPr>
      </w:pPr>
    </w:p>
    <w:p w14:paraId="44CD4DA8" w14:textId="01F427A4" w:rsidR="00F3769A" w:rsidRDefault="00F3769A" w:rsidP="00F3769A">
      <w:pPr>
        <w:tabs>
          <w:tab w:val="left" w:pos="1200"/>
        </w:tabs>
        <w:spacing w:after="0" w:line="240" w:lineRule="auto"/>
        <w:rPr>
          <w:rFonts w:asciiTheme="majorHAnsi" w:hAnsiTheme="majorHAnsi"/>
          <w:b/>
          <w:bCs/>
          <w:lang w:val="ru-RU"/>
        </w:rPr>
      </w:pPr>
    </w:p>
    <w:tbl>
      <w:tblPr>
        <w:tblW w:w="8060" w:type="dxa"/>
        <w:jc w:val="right"/>
        <w:tblBorders>
          <w:top w:val="single" w:sz="12" w:space="0" w:color="006699"/>
          <w:insideH w:val="single" w:sz="12" w:space="0" w:color="006699"/>
          <w:insideV w:val="single" w:sz="12" w:space="0" w:color="BED60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8060"/>
      </w:tblGrid>
      <w:tr w:rsidR="00F3769A" w:rsidRPr="00F3769A" w14:paraId="46457E46" w14:textId="77777777" w:rsidTr="00F3769A">
        <w:trPr>
          <w:trHeight w:val="1683"/>
          <w:jc w:val="right"/>
        </w:trPr>
        <w:tc>
          <w:tcPr>
            <w:tcW w:w="8060" w:type="dxa"/>
            <w:tcBorders>
              <w:top w:val="single" w:sz="12" w:space="0" w:color="006699"/>
              <w:left w:val="nil"/>
              <w:bottom w:val="single" w:sz="12" w:space="0" w:color="006699"/>
              <w:right w:val="nil"/>
            </w:tcBorders>
          </w:tcPr>
          <w:p w14:paraId="1328F83B" w14:textId="77777777" w:rsidR="00F3769A" w:rsidRPr="00F3769A" w:rsidRDefault="00F3769A" w:rsidP="00F3769A">
            <w:pPr>
              <w:tabs>
                <w:tab w:val="left" w:pos="2684"/>
                <w:tab w:val="right" w:pos="9072"/>
              </w:tabs>
              <w:spacing w:after="0" w:line="240" w:lineRule="auto"/>
              <w:ind w:left="2684" w:right="29"/>
              <w:jc w:val="right"/>
              <w:rPr>
                <w:rFonts w:ascii="Calibri" w:eastAsia="Times New Roman" w:hAnsi="Calibri" w:cs="Times New Roman"/>
                <w:b/>
                <w:color w:val="548DD4"/>
                <w:kern w:val="0"/>
                <w:sz w:val="28"/>
                <w:szCs w:val="28"/>
                <w:lang w:val="uk-UA"/>
                <w14:ligatures w14:val="none"/>
              </w:rPr>
            </w:pPr>
            <w:r w:rsidRPr="00F3769A">
              <w:rPr>
                <w:rFonts w:ascii="Calibri" w:eastAsia="Times New Roman" w:hAnsi="Calibri" w:cs="Times New Roman"/>
                <w:b/>
                <w:color w:val="548DD4"/>
                <w:kern w:val="0"/>
                <w:sz w:val="28"/>
                <w:szCs w:val="28"/>
                <w:lang w:val="uk-UA"/>
                <w14:ligatures w14:val="none"/>
              </w:rPr>
              <w:t xml:space="preserve">    </w:t>
            </w:r>
          </w:p>
          <w:p w14:paraId="25C7ACE0" w14:textId="0EA15DAD" w:rsidR="00F3769A" w:rsidRPr="00F3769A" w:rsidRDefault="00F3769A" w:rsidP="00F3769A">
            <w:pPr>
              <w:tabs>
                <w:tab w:val="left" w:pos="3446"/>
                <w:tab w:val="right" w:pos="9072"/>
              </w:tabs>
              <w:spacing w:after="0" w:line="240" w:lineRule="auto"/>
              <w:ind w:left="4155" w:right="29"/>
              <w:jc w:val="center"/>
              <w:rPr>
                <w:rFonts w:ascii="Calibri" w:eastAsia="Times New Roman" w:hAnsi="Calibri" w:cs="Times New Roman"/>
                <w:b/>
                <w:color w:val="548DD4"/>
                <w:kern w:val="0"/>
                <w:sz w:val="36"/>
                <w:szCs w:val="36"/>
                <w:lang w:val="uk-UA"/>
                <w14:ligatures w14:val="none"/>
              </w:rPr>
            </w:pPr>
            <w:r w:rsidRPr="00F3769A">
              <w:rPr>
                <w:rFonts w:ascii="Calibri" w:eastAsia="Times New Roman" w:hAnsi="Calibri" w:cs="Times New Roman"/>
                <w:b/>
                <w:color w:val="548DD4"/>
                <w:kern w:val="0"/>
                <w:sz w:val="36"/>
                <w:szCs w:val="36"/>
                <w:lang w:val="uk-UA"/>
                <w14:ligatures w14:val="none"/>
              </w:rPr>
              <w:t xml:space="preserve"> </w:t>
            </w:r>
            <w:r w:rsidRPr="00F3769A">
              <w:rPr>
                <w:rFonts w:ascii="Calibri" w:eastAsia="Times New Roman" w:hAnsi="Calibri" w:cs="Times New Roman"/>
                <w:b/>
                <w:noProof/>
                <w:color w:val="548DD4"/>
                <w:kern w:val="0"/>
                <w:sz w:val="36"/>
                <w:szCs w:val="36"/>
                <w14:ligatures w14:val="none"/>
              </w:rPr>
              <w:drawing>
                <wp:inline distT="0" distB="0" distL="0" distR="0" wp14:anchorId="704F6283" wp14:editId="0A4B5191">
                  <wp:extent cx="2314575" cy="714375"/>
                  <wp:effectExtent l="0" t="0" r="9525" b="9525"/>
                  <wp:docPr id="2" name="Picture 2" descr="Зображення, що містить текст, Шрифт, логотип, Графі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Зображення, що містить текст, Шрифт, логотип, Графік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FE51D" w14:textId="77777777" w:rsidR="00F3769A" w:rsidRPr="00F3769A" w:rsidRDefault="00F3769A" w:rsidP="00F3769A">
            <w:pPr>
              <w:tabs>
                <w:tab w:val="left" w:pos="3446"/>
                <w:tab w:val="right" w:pos="9072"/>
              </w:tabs>
              <w:spacing w:after="0" w:line="240" w:lineRule="auto"/>
              <w:ind w:left="4155" w:right="29"/>
              <w:jc w:val="center"/>
              <w:rPr>
                <w:rFonts w:ascii="Calibri" w:eastAsia="Times New Roman" w:hAnsi="Calibri" w:cs="Calibri"/>
                <w:b/>
                <w:color w:val="7F7F7F"/>
                <w:kern w:val="0"/>
                <w:sz w:val="48"/>
                <w:szCs w:val="48"/>
                <w:lang w:val="uk-UA" w:eastAsia="en-IE"/>
                <w14:ligatures w14:val="none"/>
              </w:rPr>
            </w:pPr>
          </w:p>
        </w:tc>
      </w:tr>
      <w:tr w:rsidR="00F3769A" w:rsidRPr="00F3769A" w14:paraId="6611B1BC" w14:textId="77777777" w:rsidTr="00F3769A">
        <w:trPr>
          <w:trHeight w:val="528"/>
          <w:jc w:val="right"/>
        </w:trPr>
        <w:tc>
          <w:tcPr>
            <w:tcW w:w="8060" w:type="dxa"/>
            <w:tcBorders>
              <w:top w:val="single" w:sz="12" w:space="0" w:color="006699"/>
              <w:left w:val="nil"/>
              <w:bottom w:val="single" w:sz="12" w:space="0" w:color="006699"/>
              <w:right w:val="nil"/>
            </w:tcBorders>
          </w:tcPr>
          <w:p w14:paraId="730A1D44" w14:textId="77777777" w:rsidR="00F3769A" w:rsidRPr="00F3769A" w:rsidRDefault="00F3769A" w:rsidP="00F3769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kern w:val="0"/>
                <w:sz w:val="24"/>
                <w:szCs w:val="24"/>
                <w:lang w:val="uk-UA" w:eastAsia="en-IE"/>
                <w14:ligatures w14:val="none"/>
              </w:rPr>
            </w:pPr>
          </w:p>
        </w:tc>
      </w:tr>
      <w:tr w:rsidR="00F3769A" w:rsidRPr="00F3769A" w14:paraId="582275B0" w14:textId="77777777" w:rsidTr="00F3769A">
        <w:trPr>
          <w:trHeight w:val="421"/>
          <w:jc w:val="right"/>
        </w:trPr>
        <w:tc>
          <w:tcPr>
            <w:tcW w:w="8060" w:type="dxa"/>
            <w:tcBorders>
              <w:top w:val="single" w:sz="12" w:space="0" w:color="006699"/>
              <w:left w:val="nil"/>
              <w:bottom w:val="nil"/>
              <w:right w:val="nil"/>
            </w:tcBorders>
          </w:tcPr>
          <w:p w14:paraId="4FDC7933" w14:textId="77777777" w:rsidR="00F3769A" w:rsidRPr="00F3769A" w:rsidRDefault="00F3769A" w:rsidP="00F3769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color w:val="616365"/>
                <w:kern w:val="0"/>
                <w:sz w:val="24"/>
                <w:szCs w:val="24"/>
                <w:lang w:val="uk-UA" w:eastAsia="en-IE"/>
                <w14:ligatures w14:val="none"/>
              </w:rPr>
            </w:pPr>
          </w:p>
        </w:tc>
      </w:tr>
    </w:tbl>
    <w:p w14:paraId="3D09CAD0" w14:textId="14C61769" w:rsidR="00F3769A" w:rsidRPr="00F3769A" w:rsidRDefault="00F3769A" w:rsidP="00F3769A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F3769A">
        <w:rPr>
          <w:rFonts w:ascii="Calibri" w:eastAsia="Times New Roman" w:hAnsi="Calibri" w:cs="Times New Roman"/>
          <w:kern w:val="0"/>
          <w:sz w:val="24"/>
          <w:szCs w:val="24"/>
          <w:lang w:val="uk-UA" w:eastAsia="en-IE"/>
          <w14:ligatures w14:val="none"/>
        </w:rPr>
        <w:tab/>
      </w:r>
      <w:r w:rsidRPr="00F376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Затверджено рішенням Наглядової ради  </w:t>
      </w:r>
    </w:p>
    <w:p w14:paraId="3BB65A4A" w14:textId="77777777" w:rsidR="00F3769A" w:rsidRPr="00F3769A" w:rsidRDefault="00F3769A" w:rsidP="00F3769A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F376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ПрАТ «Страхова компанія «Колоннейд Україна»</w:t>
      </w:r>
    </w:p>
    <w:p w14:paraId="5DB2A2B8" w14:textId="7CA245D4" w:rsidR="00F3769A" w:rsidRPr="009E4D2D" w:rsidRDefault="00F3769A" w:rsidP="00F3769A">
      <w:pPr>
        <w:spacing w:after="0" w:line="276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:lang w:val="uk-UA" w:eastAsia="en-IE"/>
          <w14:ligatures w14:val="none"/>
        </w:rPr>
      </w:pPr>
      <w:r w:rsidRPr="009E4D2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Протокол </w:t>
      </w:r>
      <w:proofErr w:type="gramStart"/>
      <w:r w:rsidRPr="009E4D2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№27-06/2024</w:t>
      </w:r>
      <w:proofErr w:type="gramEnd"/>
      <w:r w:rsidRPr="009E4D2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 w:rsidRPr="009E4D2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>від</w:t>
      </w:r>
      <w:proofErr w:type="spellEnd"/>
      <w:r w:rsidRPr="009E4D2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uk-UA"/>
          <w14:ligatures w14:val="none"/>
        </w:rPr>
        <w:t xml:space="preserve"> 27.06.2024р.</w:t>
      </w:r>
    </w:p>
    <w:p w14:paraId="291964E1" w14:textId="77777777" w:rsidR="00F3769A" w:rsidRP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4E3FE521" w14:textId="77777777" w:rsidR="00F3769A" w:rsidRP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0445F138" w14:textId="77777777" w:rsidR="00F3769A" w:rsidRP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0A4396BD" w14:textId="77777777" w:rsid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49B9EB85" w14:textId="77777777" w:rsid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4C103321" w14:textId="77777777" w:rsidR="00F3769A" w:rsidRP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5DE8A171" w14:textId="77777777" w:rsid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7EFC9667" w14:textId="77777777" w:rsid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5DFA7646" w14:textId="7CA62A2C" w:rsidR="00F3769A" w:rsidRPr="00F3769A" w:rsidRDefault="00F3769A" w:rsidP="00F3769A">
      <w:pPr>
        <w:tabs>
          <w:tab w:val="left" w:pos="50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IE"/>
          <w14:ligatures w14:val="none"/>
        </w:rPr>
      </w:pPr>
      <w:r w:rsidRPr="00F376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IE"/>
          <w14:ligatures w14:val="none"/>
        </w:rPr>
        <w:t>ПОЛОЖЕННЯ</w:t>
      </w:r>
    </w:p>
    <w:p w14:paraId="6C983C4F" w14:textId="77777777" w:rsidR="00F3769A" w:rsidRP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73BE312C" w14:textId="3EEFFA3C" w:rsidR="00F3769A" w:rsidRPr="00F3769A" w:rsidRDefault="00F3769A" w:rsidP="00F376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769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ПОРЯДОК ПРОВЕДЕННЯ КОНКУРСУ З ВІДБОРУ СУБ’ЄКТІВ АУДИТОРСЬКОЇ ДІЯЛЬНОСТІ, ЯКІ МОЖУТЬ БУТИ ПРИЗНАЧЕНИМИ ДЛЯ НАДАННЯ ПОСЛУГ З ОБОВ’ЯЗКОВОГО АУДИТУ ФІНАНСОВОЇ ЗВІТНОСТІ</w:t>
      </w:r>
    </w:p>
    <w:p w14:paraId="274E9D95" w14:textId="77777777" w:rsidR="00F3769A" w:rsidRPr="00F3769A" w:rsidRDefault="00F3769A" w:rsidP="00F3769A">
      <w:pPr>
        <w:tabs>
          <w:tab w:val="left" w:pos="5055"/>
        </w:tabs>
        <w:spacing w:after="0" w:line="276" w:lineRule="auto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55A92A69" w14:textId="77777777" w:rsidR="00F3769A" w:rsidRDefault="00F3769A" w:rsidP="00F3769A">
      <w:pPr>
        <w:spacing w:after="120" w:line="276" w:lineRule="auto"/>
        <w:ind w:firstLine="2835"/>
        <w:rPr>
          <w:rFonts w:ascii="Times New Roman" w:eastAsia="Times New Roman" w:hAnsi="Times New Roman" w:cs="Times New Roman"/>
          <w:b/>
          <w:kern w:val="0"/>
          <w:sz w:val="32"/>
          <w:szCs w:val="32"/>
          <w:highlight w:val="yellow"/>
          <w:lang w:val="uk-UA" w:eastAsia="en-IE"/>
          <w14:ligatures w14:val="none"/>
        </w:rPr>
      </w:pPr>
    </w:p>
    <w:p w14:paraId="38A8A102" w14:textId="77777777" w:rsidR="00F3769A" w:rsidRPr="00F3769A" w:rsidRDefault="00F3769A" w:rsidP="00F3769A">
      <w:pPr>
        <w:spacing w:after="0" w:line="276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:highlight w:val="yellow"/>
          <w:lang w:val="uk-UA" w:eastAsia="en-IE"/>
          <w14:ligatures w14:val="none"/>
        </w:rPr>
      </w:pPr>
    </w:p>
    <w:p w14:paraId="3835A3B7" w14:textId="77777777" w:rsidR="00F3769A" w:rsidRPr="00F3769A" w:rsidRDefault="00F3769A" w:rsidP="00F3769A">
      <w:pPr>
        <w:spacing w:after="0" w:line="276" w:lineRule="auto"/>
        <w:jc w:val="center"/>
        <w:rPr>
          <w:rFonts w:ascii="Calibri" w:eastAsia="Times New Roman" w:hAnsi="Calibri" w:cs="Times New Roman"/>
          <w:kern w:val="0"/>
          <w:sz w:val="24"/>
          <w:highlight w:val="yellow"/>
          <w:lang w:val="uk-UA" w:eastAsia="en-IE"/>
          <w14:ligatures w14:val="none"/>
        </w:rPr>
      </w:pPr>
    </w:p>
    <w:p w14:paraId="7CD68316" w14:textId="77777777" w:rsidR="00F3769A" w:rsidRPr="00F3769A" w:rsidRDefault="00F3769A" w:rsidP="00F3769A">
      <w:pPr>
        <w:spacing w:after="0" w:line="276" w:lineRule="auto"/>
        <w:rPr>
          <w:rFonts w:ascii="Calibri" w:eastAsia="Times New Roman" w:hAnsi="Calibri" w:cs="Times New Roman"/>
          <w:kern w:val="0"/>
          <w:sz w:val="24"/>
          <w:highlight w:val="yellow"/>
          <w:lang w:val="uk-UA" w:eastAsia="en-IE"/>
          <w14:ligatures w14:val="none"/>
        </w:rPr>
      </w:pPr>
    </w:p>
    <w:p w14:paraId="4C6FDA81" w14:textId="77777777" w:rsidR="00F3769A" w:rsidRPr="00F3769A" w:rsidRDefault="00F3769A" w:rsidP="00F3769A">
      <w:pPr>
        <w:spacing w:after="0" w:line="276" w:lineRule="auto"/>
        <w:rPr>
          <w:rFonts w:ascii="Calibri" w:eastAsia="Times New Roman" w:hAnsi="Calibri" w:cs="Times New Roman"/>
          <w:kern w:val="0"/>
          <w:sz w:val="24"/>
          <w:highlight w:val="yellow"/>
          <w:lang w:val="uk-UA" w:eastAsia="en-IE"/>
          <w14:ligatures w14:val="none"/>
        </w:rPr>
      </w:pPr>
    </w:p>
    <w:p w14:paraId="7A1E55E9" w14:textId="77777777" w:rsidR="00F3769A" w:rsidRPr="00F3769A" w:rsidRDefault="00F3769A" w:rsidP="00F3769A">
      <w:pPr>
        <w:spacing w:after="0" w:line="276" w:lineRule="auto"/>
        <w:rPr>
          <w:rFonts w:ascii="Calibri" w:eastAsia="Times New Roman" w:hAnsi="Calibri" w:cs="Times New Roman"/>
          <w:kern w:val="0"/>
          <w:sz w:val="24"/>
          <w:highlight w:val="yellow"/>
          <w:lang w:val="uk-UA" w:eastAsia="en-IE"/>
          <w14:ligatures w14:val="none"/>
        </w:rPr>
      </w:pPr>
    </w:p>
    <w:p w14:paraId="78D2BDAF" w14:textId="77777777" w:rsidR="00F3769A" w:rsidRPr="00F3769A" w:rsidRDefault="00F3769A" w:rsidP="00F3769A">
      <w:pPr>
        <w:spacing w:after="0" w:line="276" w:lineRule="auto"/>
        <w:rPr>
          <w:rFonts w:ascii="Calibri" w:eastAsia="Times New Roman" w:hAnsi="Calibri" w:cs="Times New Roman"/>
          <w:kern w:val="0"/>
          <w:sz w:val="24"/>
          <w:highlight w:val="yellow"/>
          <w:lang w:val="uk-UA" w:eastAsia="en-IE"/>
          <w14:ligatures w14:val="none"/>
        </w:rPr>
      </w:pPr>
    </w:p>
    <w:p w14:paraId="47C3CE19" w14:textId="77777777" w:rsidR="00F3769A" w:rsidRPr="00F3769A" w:rsidRDefault="00F3769A" w:rsidP="00F3769A">
      <w:pPr>
        <w:spacing w:after="0" w:line="276" w:lineRule="auto"/>
        <w:rPr>
          <w:rFonts w:ascii="Calibri" w:eastAsia="Times New Roman" w:hAnsi="Calibri" w:cs="Times New Roman"/>
          <w:kern w:val="0"/>
          <w:sz w:val="24"/>
          <w:highlight w:val="yellow"/>
          <w:lang w:val="uk-UA" w:eastAsia="en-IE"/>
          <w14:ligatures w14:val="none"/>
        </w:rPr>
      </w:pPr>
    </w:p>
    <w:p w14:paraId="3DC661BC" w14:textId="77777777" w:rsidR="00F3769A" w:rsidRPr="00F3769A" w:rsidRDefault="00F3769A" w:rsidP="00F3769A">
      <w:pPr>
        <w:spacing w:after="0" w:line="276" w:lineRule="auto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7EA03C2A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6431136A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49C2A299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4AE4A04C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3FE65FD9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03F7D251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554C0FAB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6201ED55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7EFACA64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76334979" w14:textId="77777777" w:rsidR="00F3769A" w:rsidRPr="00F3769A" w:rsidRDefault="00F3769A" w:rsidP="00F3769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yellow"/>
          <w:lang w:val="uk-UA"/>
          <w14:ligatures w14:val="none"/>
        </w:rPr>
      </w:pPr>
    </w:p>
    <w:p w14:paraId="6514E724" w14:textId="77777777" w:rsidR="00F3769A" w:rsidRPr="00F3769A" w:rsidRDefault="00F3769A" w:rsidP="00F3769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</w:pPr>
      <w:r w:rsidRPr="00F3769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СПЕЦИФІКАЦІЯ ДОКУМЕНТА</w:t>
      </w:r>
    </w:p>
    <w:p w14:paraId="6DF4354E" w14:textId="77777777" w:rsidR="00F3769A" w:rsidRPr="00F3769A" w:rsidRDefault="00F3769A" w:rsidP="00F3769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yellow"/>
          <w:lang w:val="en-GB"/>
          <w14:ligatures w14:val="none"/>
        </w:rPr>
      </w:pPr>
    </w:p>
    <w:tbl>
      <w:tblPr>
        <w:tblW w:w="9195" w:type="dxa"/>
        <w:tblInd w:w="-8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6875"/>
      </w:tblGrid>
      <w:tr w:rsidR="00F3769A" w:rsidRPr="009E4D2D" w14:paraId="42B803C1" w14:textId="77777777" w:rsidTr="00F3769A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CADDA63" w14:textId="77777777" w:rsidR="00F3769A" w:rsidRPr="00F3769A" w:rsidRDefault="00F3769A" w:rsidP="00F3769A">
            <w:pPr>
              <w:spacing w:before="40" w:after="4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en-GB"/>
                <w14:ligatures w14:val="none"/>
              </w:rPr>
              <w:t>НАЗВА ДОКУМЕНТА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B29BD" w14:textId="5B08DD6F" w:rsidR="00F3769A" w:rsidRPr="00F3769A" w:rsidRDefault="00F3769A" w:rsidP="00F376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  <w:t xml:space="preserve">Положення про порядок проведення конкурсу з відбору </w:t>
            </w:r>
            <w:proofErr w:type="spellStart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  <w:t>суб</w:t>
            </w:r>
            <w:proofErr w:type="spellEnd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ru-RU"/>
                <w14:ligatures w14:val="none"/>
              </w:rPr>
              <w:t>’</w:t>
            </w:r>
            <w:proofErr w:type="spellStart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  <w:t>єктів</w:t>
            </w:r>
            <w:proofErr w:type="spellEnd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  <w:t xml:space="preserve"> аудиторської діяльності, які можуть бути призначеними для надання послуг з </w:t>
            </w:r>
            <w:proofErr w:type="spellStart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  <w:t>обов</w:t>
            </w:r>
            <w:proofErr w:type="spellEnd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ru-RU"/>
                <w14:ligatures w14:val="none"/>
              </w:rPr>
              <w:t>’</w:t>
            </w:r>
            <w:proofErr w:type="spellStart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  <w:t>язкового</w:t>
            </w:r>
            <w:proofErr w:type="spellEnd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  <w:t xml:space="preserve"> аудиту фінансової звітності </w:t>
            </w:r>
          </w:p>
          <w:p w14:paraId="449FD4EB" w14:textId="18CC63DF" w:rsidR="00F3769A" w:rsidRPr="00F3769A" w:rsidRDefault="00F3769A" w:rsidP="00F3769A">
            <w:pPr>
              <w:spacing w:before="40" w:after="4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</w:pPr>
          </w:p>
        </w:tc>
      </w:tr>
      <w:tr w:rsidR="00F3769A" w:rsidRPr="00F3769A" w14:paraId="7764D668" w14:textId="77777777" w:rsidTr="00F3769A">
        <w:trPr>
          <w:trHeight w:val="2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74C86C" w14:textId="77777777" w:rsidR="00F3769A" w:rsidRPr="00F3769A" w:rsidRDefault="00F3769A" w:rsidP="00F3769A">
            <w:pPr>
              <w:spacing w:before="40" w:after="4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en-GB"/>
                <w14:ligatures w14:val="none"/>
              </w:rPr>
              <w:t>СТАТУС ДОКУМЕНТА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B1C0" w14:textId="77777777" w:rsidR="00F3769A" w:rsidRPr="00F3769A" w:rsidRDefault="00F3769A" w:rsidP="00F3769A">
            <w:pPr>
              <w:spacing w:before="40" w:after="4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</w:pPr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uk-UA"/>
                <w14:ligatures w14:val="none"/>
              </w:rPr>
              <w:t>Прийнято</w:t>
            </w:r>
          </w:p>
        </w:tc>
      </w:tr>
      <w:tr w:rsidR="00F3769A" w:rsidRPr="00F3769A" w14:paraId="31EB455A" w14:textId="77777777" w:rsidTr="00F3769A">
        <w:trPr>
          <w:trHeight w:val="1003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28254CE" w14:textId="77777777" w:rsidR="00F3769A" w:rsidRPr="00F3769A" w:rsidRDefault="00F3769A" w:rsidP="00F3769A">
            <w:pPr>
              <w:spacing w:before="40" w:after="4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val="en-GB"/>
                <w14:ligatures w14:val="none"/>
              </w:rPr>
            </w:pPr>
            <w:bookmarkStart w:id="0" w:name="kix.naav5oc89of3"/>
            <w:bookmarkEnd w:id="0"/>
            <w:r w:rsidRPr="00F3769A">
              <w:rPr>
                <w:rFonts w:ascii="Times New Roman" w:eastAsia="Calibri" w:hAnsi="Times New Roman" w:cs="Times New Roman"/>
                <w:color w:val="000000"/>
                <w:kern w:val="0"/>
                <w:lang w:val="en-GB"/>
                <w14:ligatures w14:val="none"/>
              </w:rPr>
              <w:t>КАТЕГОРІЯ ДОКУМЕНТА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685" w:type="dxa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2217"/>
              <w:gridCol w:w="406"/>
              <w:gridCol w:w="2656"/>
            </w:tblGrid>
            <w:tr w:rsidR="00F3769A" w:rsidRPr="00F3769A" w14:paraId="53EBA44A" w14:textId="77777777">
              <w:tc>
                <w:tcPr>
                  <w:tcW w:w="363" w:type="dxa"/>
                  <w:hideMark/>
                </w:tcPr>
                <w:p w14:paraId="0CFC5AF3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r w:rsidRPr="00F3769A">
                    <w:rPr>
                      <w:rFonts w:ascii="Segoe UI Symbol" w:eastAsia="Calibri" w:hAnsi="Segoe UI Symbol" w:cs="Segoe UI Symbol"/>
                      <w:color w:val="000000"/>
                      <w:kern w:val="0"/>
                      <w:lang w:val="en-GB"/>
                      <w14:ligatures w14:val="none"/>
                    </w:rPr>
                    <w:t>☐</w:t>
                  </w:r>
                </w:p>
              </w:tc>
              <w:tc>
                <w:tcPr>
                  <w:tcW w:w="2248" w:type="dxa"/>
                  <w:hideMark/>
                </w:tcPr>
                <w:p w14:paraId="4839D659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proofErr w:type="spellStart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Контрольний</w:t>
                  </w:r>
                  <w:proofErr w:type="spellEnd"/>
                </w:p>
              </w:tc>
              <w:tc>
                <w:tcPr>
                  <w:tcW w:w="360" w:type="dxa"/>
                  <w:hideMark/>
                </w:tcPr>
                <w:p w14:paraId="6DE0E567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r w:rsidRPr="00F3769A">
                    <w:rPr>
                      <w:rFonts w:ascii="Segoe UI Symbol" w:eastAsia="Calibri" w:hAnsi="Segoe UI Symbol" w:cs="Segoe UI Symbol"/>
                      <w:color w:val="000000"/>
                      <w:kern w:val="0"/>
                      <w:lang w:val="en-GB"/>
                      <w14:ligatures w14:val="none"/>
                    </w:rPr>
                    <w:t>☐</w:t>
                  </w:r>
                </w:p>
              </w:tc>
              <w:tc>
                <w:tcPr>
                  <w:tcW w:w="2713" w:type="dxa"/>
                  <w:hideMark/>
                </w:tcPr>
                <w:p w14:paraId="67CD8EC9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proofErr w:type="spellStart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Пропозиція</w:t>
                  </w:r>
                  <w:proofErr w:type="spellEnd"/>
                </w:p>
              </w:tc>
            </w:tr>
            <w:tr w:rsidR="00F3769A" w:rsidRPr="00F3769A" w14:paraId="631F85EB" w14:textId="77777777">
              <w:tc>
                <w:tcPr>
                  <w:tcW w:w="363" w:type="dxa"/>
                  <w:hideMark/>
                </w:tcPr>
                <w:p w14:paraId="120A7A9C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r w:rsidRPr="00F3769A">
                    <w:rPr>
                      <w:rFonts w:ascii="Segoe UI Symbol" w:eastAsia="Calibri" w:hAnsi="Segoe UI Symbol" w:cs="Segoe UI Symbol"/>
                      <w:color w:val="000000"/>
                      <w:kern w:val="0"/>
                      <w:lang w:val="en-GB"/>
                      <w14:ligatures w14:val="none"/>
                    </w:rPr>
                    <w:t>☒</w:t>
                  </w:r>
                </w:p>
              </w:tc>
              <w:tc>
                <w:tcPr>
                  <w:tcW w:w="2248" w:type="dxa"/>
                  <w:hideMark/>
                </w:tcPr>
                <w:p w14:paraId="370E7057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proofErr w:type="spellStart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Політика</w:t>
                  </w:r>
                  <w:proofErr w:type="spellEnd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60" w:type="dxa"/>
                  <w:hideMark/>
                </w:tcPr>
                <w:p w14:paraId="3FF87FE3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r w:rsidRPr="00F3769A">
                    <w:rPr>
                      <w:rFonts w:ascii="Segoe UI Symbol" w:eastAsia="Calibri" w:hAnsi="Segoe UI Symbol" w:cs="Segoe UI Symbol"/>
                      <w:color w:val="000000"/>
                      <w:kern w:val="0"/>
                      <w:lang w:val="en-GB"/>
                      <w14:ligatures w14:val="none"/>
                    </w:rPr>
                    <w:t>☐</w:t>
                  </w:r>
                </w:p>
              </w:tc>
              <w:tc>
                <w:tcPr>
                  <w:tcW w:w="2713" w:type="dxa"/>
                  <w:hideMark/>
                </w:tcPr>
                <w:p w14:paraId="3B4F0FD7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proofErr w:type="spellStart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Навчання</w:t>
                  </w:r>
                  <w:proofErr w:type="spellEnd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 xml:space="preserve"> (</w:t>
                  </w:r>
                  <w:proofErr w:type="spellStart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Посібник</w:t>
                  </w:r>
                  <w:proofErr w:type="spellEnd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 xml:space="preserve"> / </w:t>
                  </w:r>
                  <w:proofErr w:type="spellStart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Посібник</w:t>
                  </w:r>
                  <w:proofErr w:type="spellEnd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)</w:t>
                  </w:r>
                </w:p>
              </w:tc>
            </w:tr>
            <w:tr w:rsidR="00F3769A" w:rsidRPr="00F3769A" w14:paraId="42DC06C6" w14:textId="77777777">
              <w:tc>
                <w:tcPr>
                  <w:tcW w:w="363" w:type="dxa"/>
                  <w:hideMark/>
                </w:tcPr>
                <w:p w14:paraId="4B6167E7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r w:rsidRPr="00F3769A">
                    <w:rPr>
                      <w:rFonts w:ascii="Segoe UI Symbol" w:eastAsia="Calibri" w:hAnsi="Segoe UI Symbol" w:cs="Segoe UI Symbol"/>
                      <w:color w:val="000000"/>
                      <w:kern w:val="0"/>
                      <w:lang w:val="en-GB"/>
                      <w14:ligatures w14:val="none"/>
                    </w:rPr>
                    <w:t>☐</w:t>
                  </w:r>
                </w:p>
              </w:tc>
              <w:tc>
                <w:tcPr>
                  <w:tcW w:w="2248" w:type="dxa"/>
                  <w:hideMark/>
                </w:tcPr>
                <w:p w14:paraId="72DBF975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proofErr w:type="spellStart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Процедура</w:t>
                  </w:r>
                  <w:proofErr w:type="spellEnd"/>
                </w:p>
              </w:tc>
              <w:tc>
                <w:tcPr>
                  <w:tcW w:w="360" w:type="dxa"/>
                  <w:hideMark/>
                </w:tcPr>
                <w:p w14:paraId="7BFDF6F6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r w:rsidRPr="00F3769A">
                    <w:rPr>
                      <w:rFonts w:ascii="Segoe UI Symbol" w:eastAsia="Calibri" w:hAnsi="Segoe UI Symbol" w:cs="Segoe UI Symbol"/>
                      <w:color w:val="000000"/>
                      <w:kern w:val="0"/>
                      <w:lang w:val="en-GB"/>
                      <w14:ligatures w14:val="none"/>
                    </w:rPr>
                    <w:t>☐</w:t>
                  </w:r>
                </w:p>
              </w:tc>
              <w:tc>
                <w:tcPr>
                  <w:tcW w:w="2713" w:type="dxa"/>
                  <w:hideMark/>
                </w:tcPr>
                <w:p w14:paraId="58F82624" w14:textId="77777777" w:rsidR="00F3769A" w:rsidRPr="00F3769A" w:rsidRDefault="00F3769A" w:rsidP="00F3769A">
                  <w:pPr>
                    <w:spacing w:before="40" w:after="4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</w:pPr>
                  <w:proofErr w:type="spellStart"/>
                  <w:r w:rsidRPr="00F3769A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en-GB"/>
                      <w14:ligatures w14:val="none"/>
                    </w:rPr>
                    <w:t>Звіт</w:t>
                  </w:r>
                  <w:proofErr w:type="spellEnd"/>
                </w:p>
              </w:tc>
            </w:tr>
          </w:tbl>
          <w:p w14:paraId="0DFCAFA7" w14:textId="77777777" w:rsidR="00F3769A" w:rsidRPr="00F3769A" w:rsidRDefault="00F3769A" w:rsidP="00F37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 w:eastAsia="en-IE"/>
                <w14:ligatures w14:val="none"/>
              </w:rPr>
            </w:pPr>
          </w:p>
        </w:tc>
      </w:tr>
    </w:tbl>
    <w:p w14:paraId="29D06391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3A886B4C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1E89103D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0B40AE88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4B745DFD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4A4690CC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102DAC71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highlight w:val="yellow"/>
          <w:lang w:val="uk-UA" w:eastAsia="en-IE"/>
          <w14:ligatures w14:val="none"/>
        </w:rPr>
      </w:pPr>
    </w:p>
    <w:p w14:paraId="433D25B8" w14:textId="77777777" w:rsidR="00F3769A" w:rsidRPr="00F3769A" w:rsidRDefault="00F3769A" w:rsidP="00F3769A">
      <w:pPr>
        <w:shd w:val="clear" w:color="auto" w:fill="00206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GB" w:eastAsia="en-GB"/>
          <w14:ligatures w14:val="none"/>
        </w:rPr>
      </w:pPr>
      <w:r w:rsidRPr="00F3769A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:lang w:val="en-GB" w:eastAsia="en-GB"/>
          <w14:ligatures w14:val="none"/>
        </w:rPr>
        <w:t>КОНТРОЛЬ ВЕРСІЙ</w:t>
      </w:r>
    </w:p>
    <w:tbl>
      <w:tblPr>
        <w:tblW w:w="931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1276"/>
        <w:gridCol w:w="1277"/>
        <w:gridCol w:w="5526"/>
      </w:tblGrid>
      <w:tr w:rsidR="00F3769A" w:rsidRPr="00F3769A" w14:paraId="2C777301" w14:textId="77777777" w:rsidTr="00F3769A">
        <w:tc>
          <w:tcPr>
            <w:tcW w:w="1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BDCE64D" w14:textId="77777777" w:rsidR="00F3769A" w:rsidRPr="00F3769A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 w:eastAsia="en-GB"/>
                <w14:ligatures w14:val="none"/>
              </w:rPr>
            </w:pPr>
            <w:r w:rsidRPr="00F376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 w:eastAsia="en-GB"/>
                <w14:ligatures w14:val="none"/>
              </w:rPr>
              <w:t>ВЕРСІЯ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47BE561" w14:textId="77777777" w:rsidR="00F3769A" w:rsidRPr="00F3769A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 w:eastAsia="en-GB"/>
                <w14:ligatures w14:val="none"/>
              </w:rPr>
            </w:pPr>
            <w:r w:rsidRPr="00F376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 w:eastAsia="en-GB"/>
                <w14:ligatures w14:val="none"/>
              </w:rPr>
              <w:t>АВТОР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201B5FB4" w14:textId="77777777" w:rsidR="00F3769A" w:rsidRPr="00F3769A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 w:eastAsia="en-GB"/>
                <w14:ligatures w14:val="none"/>
              </w:rPr>
            </w:pPr>
            <w:r w:rsidRPr="00F376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 w:eastAsia="en-GB"/>
                <w14:ligatures w14:val="none"/>
              </w:rPr>
              <w:t>ДАТА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5334F56" w14:textId="77777777" w:rsidR="00F3769A" w:rsidRPr="00F3769A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 w:eastAsia="en-GB"/>
                <w14:ligatures w14:val="none"/>
              </w:rPr>
            </w:pPr>
            <w:r w:rsidRPr="00F376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GB" w:eastAsia="en-GB"/>
                <w14:ligatures w14:val="none"/>
              </w:rPr>
              <w:t>КОМЕНТАР</w:t>
            </w:r>
          </w:p>
        </w:tc>
      </w:tr>
      <w:tr w:rsidR="00F3769A" w:rsidRPr="009E4D2D" w14:paraId="491855CC" w14:textId="77777777" w:rsidTr="00F3769A">
        <w:tc>
          <w:tcPr>
            <w:tcW w:w="1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83C241" w14:textId="77777777" w:rsidR="00F3769A" w:rsidRPr="00F3769A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</w:pPr>
            <w:r w:rsidRPr="00F376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  <w:t>1.</w:t>
            </w:r>
            <w:r w:rsidRPr="00F376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C03019" w14:textId="77777777" w:rsidR="00F3769A" w:rsidRPr="00F3769A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F376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  <w:t>Святослав</w:t>
            </w:r>
            <w:proofErr w:type="spellEnd"/>
            <w:r w:rsidRPr="00F376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F376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  <w:t>Ярошевич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020BEB" w14:textId="23B50DDD" w:rsidR="00F3769A" w:rsidRPr="00F3769A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</w:pPr>
            <w:r w:rsidRPr="00F376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  <w:t>10.01.2019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BCFA14" w14:textId="77777777" w:rsidR="00F3769A" w:rsidRPr="00F3769A" w:rsidRDefault="00F3769A" w:rsidP="00F3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</w:pPr>
            <w:r w:rsidRPr="00F376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  <w:t xml:space="preserve">Затверджено Рішенням Наглядової ради </w:t>
            </w:r>
          </w:p>
          <w:p w14:paraId="0390123D" w14:textId="7AEF6848" w:rsidR="00F3769A" w:rsidRPr="00F3769A" w:rsidRDefault="00F3769A" w:rsidP="00F3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</w:pPr>
            <w:r w:rsidRPr="00F3769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  <w:t xml:space="preserve"> Протокол № 10-01/2019, від 10.01.2019 р. </w:t>
            </w:r>
          </w:p>
        </w:tc>
      </w:tr>
      <w:tr w:rsidR="00F3769A" w:rsidRPr="009E4D2D" w14:paraId="014EC1B2" w14:textId="77777777" w:rsidTr="00F3769A">
        <w:tc>
          <w:tcPr>
            <w:tcW w:w="1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5A05052" w14:textId="77777777" w:rsidR="00F3769A" w:rsidRPr="009E4D2D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</w:pPr>
            <w:r w:rsidRPr="009E4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  <w:t>2.0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363221" w14:textId="77777777" w:rsidR="00F3769A" w:rsidRPr="009E4D2D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</w:pPr>
            <w:proofErr w:type="spellStart"/>
            <w:r w:rsidRPr="009E4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  <w:t>Святослав</w:t>
            </w:r>
            <w:proofErr w:type="spellEnd"/>
            <w:r w:rsidRPr="009E4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proofErr w:type="spellStart"/>
            <w:r w:rsidRPr="009E4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GB" w:eastAsia="en-GB"/>
                <w14:ligatures w14:val="none"/>
              </w:rPr>
              <w:t>Ярошевич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2DFBBF" w14:textId="77777777" w:rsidR="00F3769A" w:rsidRPr="009E4D2D" w:rsidRDefault="00F3769A" w:rsidP="00F3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</w:pPr>
            <w:r w:rsidRPr="009E4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  <w:t>26.06.2024</w:t>
            </w:r>
          </w:p>
        </w:tc>
        <w:tc>
          <w:tcPr>
            <w:tcW w:w="55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C74419" w14:textId="77777777" w:rsidR="00F3769A" w:rsidRPr="009E4D2D" w:rsidRDefault="00F3769A" w:rsidP="00F3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</w:pPr>
            <w:r w:rsidRPr="009E4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  <w:t xml:space="preserve">Затверджено Рішенням Наглядової ради </w:t>
            </w:r>
          </w:p>
          <w:p w14:paraId="531FAD78" w14:textId="23F59E51" w:rsidR="00F3769A" w:rsidRPr="00F3769A" w:rsidRDefault="00F3769A" w:rsidP="00F3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</w:pPr>
            <w:r w:rsidRPr="009E4D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en-GB"/>
                <w14:ligatures w14:val="none"/>
              </w:rPr>
              <w:t xml:space="preserve"> </w:t>
            </w:r>
            <w:r w:rsidRPr="009E4D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uk-UA" w:eastAsia="uk-UA"/>
                <w14:ligatures w14:val="none"/>
              </w:rPr>
              <w:t>Протокол №27-06/2024,  від  27.06.2024р.</w:t>
            </w:r>
          </w:p>
        </w:tc>
      </w:tr>
    </w:tbl>
    <w:p w14:paraId="456968C2" w14:textId="77777777" w:rsidR="00F3769A" w:rsidRPr="00F3769A" w:rsidRDefault="00F3769A" w:rsidP="00F376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16"/>
          <w:szCs w:val="16"/>
          <w:lang w:val="uk-UA" w:eastAsia="en-IE"/>
          <w14:ligatures w14:val="none"/>
        </w:rPr>
      </w:pPr>
    </w:p>
    <w:p w14:paraId="77E4C2ED" w14:textId="77777777" w:rsidR="00F3769A" w:rsidRPr="00F3769A" w:rsidRDefault="00F3769A" w:rsidP="00F3769A">
      <w:pPr>
        <w:spacing w:after="0" w:line="276" w:lineRule="auto"/>
        <w:rPr>
          <w:rFonts w:ascii="Calibri" w:eastAsia="Times New Roman" w:hAnsi="Calibri" w:cs="Times New Roman"/>
          <w:vanish/>
          <w:kern w:val="0"/>
          <w:sz w:val="16"/>
          <w:szCs w:val="16"/>
          <w:lang w:val="uk-UA" w:eastAsia="en-IE"/>
          <w14:ligatures w14:val="none"/>
        </w:rPr>
      </w:pPr>
    </w:p>
    <w:p w14:paraId="1E16EB58" w14:textId="77777777" w:rsidR="00F3769A" w:rsidRPr="00F3769A" w:rsidRDefault="00F3769A" w:rsidP="00F3769A">
      <w:pPr>
        <w:spacing w:after="0" w:line="240" w:lineRule="auto"/>
        <w:rPr>
          <w:rFonts w:ascii="Calibri" w:eastAsia="Times New Roman" w:hAnsi="Calibri" w:cs="Times New Roman"/>
          <w:b/>
          <w:bCs/>
          <w:color w:val="000081"/>
          <w:kern w:val="0"/>
          <w:sz w:val="24"/>
          <w:szCs w:val="24"/>
          <w:lang w:val="uk-UA" w:eastAsia="en-IE"/>
          <w14:ligatures w14:val="none"/>
        </w:rPr>
      </w:pPr>
      <w:r w:rsidRPr="00F3769A">
        <w:rPr>
          <w:rFonts w:ascii="Calibri" w:eastAsia="Times New Roman" w:hAnsi="Calibri" w:cs="Times New Roman"/>
          <w:b/>
          <w:bCs/>
          <w:color w:val="000081"/>
          <w:kern w:val="0"/>
          <w:sz w:val="24"/>
          <w:szCs w:val="24"/>
          <w:lang w:val="uk-UA" w:eastAsia="en-IE"/>
          <w14:ligatures w14:val="none"/>
        </w:rPr>
        <w:br w:type="page"/>
      </w:r>
    </w:p>
    <w:p w14:paraId="57B2D8F9" w14:textId="12C00866" w:rsidR="003A70B5" w:rsidRPr="00C069F9" w:rsidRDefault="003A70B5" w:rsidP="00C069F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69F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ЗАГАЛЬНІ ПОЛОЖЕННЯ </w:t>
      </w:r>
    </w:p>
    <w:p w14:paraId="033AA5F9" w14:textId="1F8823C4" w:rsidR="003A70B5" w:rsidRPr="00C069F9" w:rsidRDefault="003A70B5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74409A08" w14:textId="6F8BC475" w:rsidR="00C069F9" w:rsidRPr="00C069F9" w:rsidRDefault="003A70B5" w:rsidP="00C069F9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9F9">
        <w:rPr>
          <w:rFonts w:ascii="Times New Roman" w:hAnsi="Times New Roman" w:cs="Times New Roman"/>
          <w:sz w:val="24"/>
          <w:szCs w:val="24"/>
          <w:lang w:val="uk-UA"/>
        </w:rPr>
        <w:t xml:space="preserve">Цей порядок (далі – Порядок) проведення конкурсу з відбору суб’єктів аудиторської діяльності, які можуть бути призначені для надання послуг з обов’язкового аудиту фінансової звітності </w:t>
      </w:r>
      <w:r w:rsidR="00554294" w:rsidRPr="00C069F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069F9" w:rsidRPr="00C069F9">
        <w:rPr>
          <w:rFonts w:ascii="Times New Roman" w:hAnsi="Times New Roman" w:cs="Times New Roman"/>
          <w:sz w:val="24"/>
          <w:szCs w:val="24"/>
          <w:lang w:val="uk-UA"/>
        </w:rPr>
        <w:t xml:space="preserve">риватного Акціонерного Товариства «Страхова компанія «Колоннейд Україна» </w:t>
      </w:r>
      <w:r w:rsidRPr="00C069F9">
        <w:rPr>
          <w:rFonts w:ascii="Times New Roman" w:hAnsi="Times New Roman" w:cs="Times New Roman"/>
          <w:sz w:val="24"/>
          <w:szCs w:val="24"/>
          <w:lang w:val="uk-UA"/>
        </w:rPr>
        <w:t xml:space="preserve">(далі – </w:t>
      </w:r>
      <w:r w:rsidR="00C069F9" w:rsidRPr="00C069F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69F9">
        <w:rPr>
          <w:rFonts w:ascii="Times New Roman" w:hAnsi="Times New Roman" w:cs="Times New Roman"/>
          <w:sz w:val="24"/>
          <w:szCs w:val="24"/>
          <w:lang w:val="uk-UA"/>
        </w:rPr>
        <w:t>омпані</w:t>
      </w:r>
      <w:r w:rsidR="00E24195" w:rsidRPr="00C069F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069F9">
        <w:rPr>
          <w:rFonts w:ascii="Times New Roman" w:hAnsi="Times New Roman" w:cs="Times New Roman"/>
          <w:sz w:val="24"/>
          <w:szCs w:val="24"/>
          <w:lang w:val="uk-UA"/>
        </w:rPr>
        <w:t xml:space="preserve">) встановлює порядок проведення конкурсу, прозорі та недискримінаційні принципи та процедуру відбору суб’єктів аудиторської діяльності для надання послуг з обов’язкового аудиту фінансової звітності </w:t>
      </w:r>
      <w:r w:rsidR="00C069F9" w:rsidRPr="00C069F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069F9">
        <w:rPr>
          <w:rFonts w:ascii="Times New Roman" w:hAnsi="Times New Roman" w:cs="Times New Roman"/>
          <w:sz w:val="24"/>
          <w:szCs w:val="24"/>
          <w:lang w:val="uk-UA"/>
        </w:rPr>
        <w:t>омпані</w:t>
      </w:r>
      <w:r w:rsidR="00E24195" w:rsidRPr="00C069F9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069F9">
        <w:rPr>
          <w:rFonts w:ascii="Times New Roman" w:hAnsi="Times New Roman" w:cs="Times New Roman"/>
          <w:sz w:val="24"/>
          <w:szCs w:val="24"/>
          <w:lang w:val="uk-UA"/>
        </w:rPr>
        <w:t xml:space="preserve"> (далі – конкурс) у відповідності до вимог</w:t>
      </w:r>
      <w:r w:rsidR="00C069F9" w:rsidRPr="00C069F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D258A8A" w14:textId="4AD326D4" w:rsidR="00C069F9" w:rsidRPr="001A238B" w:rsidRDefault="003A70B5" w:rsidP="0068166A">
      <w:pPr>
        <w:numPr>
          <w:ilvl w:val="0"/>
          <w:numId w:val="12"/>
        </w:numPr>
        <w:tabs>
          <w:tab w:val="left" w:pos="851"/>
        </w:tabs>
        <w:spacing w:after="0" w:line="240" w:lineRule="auto"/>
        <w:ind w:right="1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238B">
        <w:rPr>
          <w:rFonts w:ascii="Times New Roman" w:hAnsi="Times New Roman" w:cs="Times New Roman"/>
          <w:sz w:val="24"/>
          <w:szCs w:val="24"/>
          <w:lang w:val="uk-UA"/>
        </w:rPr>
        <w:t>Закону України «Про акціонерні товариства»</w:t>
      </w:r>
      <w:r w:rsidR="001A238B" w:rsidRPr="001A2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38B" w:rsidRPr="001A23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 27.07.2022 р. № 2465</w:t>
      </w:r>
      <w:r w:rsidR="001A238B" w:rsidRPr="001A238B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uk-UA"/>
          <w14:ligatures w14:val="none"/>
        </w:rPr>
        <w:t>-IX</w:t>
      </w:r>
      <w:r w:rsidR="001A238B" w:rsidRPr="001A23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, </w:t>
      </w:r>
      <w:r w:rsidRPr="001A238B">
        <w:rPr>
          <w:rFonts w:ascii="Times New Roman" w:hAnsi="Times New Roman" w:cs="Times New Roman"/>
          <w:sz w:val="24"/>
          <w:szCs w:val="24"/>
          <w:lang w:val="uk-UA"/>
        </w:rPr>
        <w:t>(далі – Закон про акціонерні товариства)</w:t>
      </w:r>
      <w:r w:rsidR="00C069F9" w:rsidRPr="001A23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F4A0D2" w14:textId="1793D4E3" w:rsidR="00C069F9" w:rsidRPr="001A238B" w:rsidRDefault="003A70B5" w:rsidP="00F6037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238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страхування»</w:t>
      </w:r>
      <w:r w:rsidR="001A238B" w:rsidRPr="001A238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від 18.11.2021 р., </w:t>
      </w:r>
      <w:r w:rsidR="001A238B" w:rsidRPr="001A238B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uk-UA"/>
          <w14:ligatures w14:val="none"/>
        </w:rPr>
        <w:t>№ 1909-IX</w:t>
      </w:r>
      <w:r w:rsidR="001A238B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uk-UA"/>
          <w14:ligatures w14:val="none"/>
        </w:rPr>
        <w:t>,</w:t>
      </w:r>
      <w:r w:rsidR="001A238B" w:rsidRPr="001A238B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uk-UA"/>
          <w14:ligatures w14:val="none"/>
        </w:rPr>
        <w:t xml:space="preserve"> </w:t>
      </w:r>
      <w:r w:rsidRPr="001A238B">
        <w:rPr>
          <w:rFonts w:ascii="Times New Roman" w:hAnsi="Times New Roman" w:cs="Times New Roman"/>
          <w:sz w:val="24"/>
          <w:szCs w:val="24"/>
          <w:lang w:val="uk-UA"/>
        </w:rPr>
        <w:t>(далі – Закон про страхування)</w:t>
      </w:r>
      <w:r w:rsidR="00C069F9" w:rsidRPr="001A23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FE72D32" w14:textId="50319803" w:rsidR="00C069F9" w:rsidRPr="001A238B" w:rsidRDefault="003A70B5" w:rsidP="00C069F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238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аудит фінансової звітності та аудиторську діяльність»</w:t>
      </w:r>
      <w:r w:rsidR="001A238B" w:rsidRPr="001A238B">
        <w:rPr>
          <w:rFonts w:ascii="Times New Roman" w:hAnsi="Times New Roman" w:cs="Times New Roman"/>
          <w:sz w:val="24"/>
          <w:szCs w:val="24"/>
          <w:lang w:val="uk-UA"/>
        </w:rPr>
        <w:t xml:space="preserve"> від 21.12.2017 р. № 22</w:t>
      </w:r>
      <w:r w:rsidR="001A238B" w:rsidRPr="001A238B">
        <w:rPr>
          <w:rStyle w:val="rvts44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58-</w:t>
      </w:r>
      <w:r w:rsidR="001A238B" w:rsidRPr="001A238B">
        <w:rPr>
          <w:rStyle w:val="rvts4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</w:t>
      </w:r>
      <w:r w:rsidR="001A238B" w:rsidRPr="001A238B">
        <w:rPr>
          <w:rStyle w:val="rvts44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Pr="001A238B">
        <w:rPr>
          <w:rFonts w:ascii="Times New Roman" w:hAnsi="Times New Roman" w:cs="Times New Roman"/>
          <w:sz w:val="24"/>
          <w:szCs w:val="24"/>
          <w:lang w:val="uk-UA"/>
        </w:rPr>
        <w:t>(далі – Закон про аудит)</w:t>
      </w:r>
      <w:r w:rsidR="00C069F9" w:rsidRPr="001A23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E11177" w14:textId="31C4A227" w:rsidR="00FD481F" w:rsidRPr="00FD481F" w:rsidRDefault="003A70B5" w:rsidP="00EA4A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81F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бухгалтерський облік та фінансову звітність в Україні»</w:t>
      </w:r>
      <w:r w:rsidR="001A238B" w:rsidRPr="00FD481F">
        <w:rPr>
          <w:rStyle w:val="Heading1Char"/>
          <w:b/>
          <w:bCs/>
          <w:color w:val="333333"/>
          <w:shd w:val="clear" w:color="auto" w:fill="FFFFFF"/>
          <w:lang w:val="uk-UA"/>
        </w:rPr>
        <w:t xml:space="preserve"> </w:t>
      </w:r>
      <w:r w:rsidR="001A238B" w:rsidRPr="00FD481F">
        <w:rPr>
          <w:rStyle w:val="Heading1Char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від </w:t>
      </w:r>
      <w:r w:rsidR="001A238B" w:rsidRPr="00FD481F">
        <w:rPr>
          <w:rStyle w:val="rvts44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16.07.1999 р. </w:t>
      </w:r>
      <w:r w:rsidR="001A238B" w:rsidRPr="00FD48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№ 996-</w:t>
      </w:r>
      <w:r w:rsidR="001A238B" w:rsidRPr="00FD48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XIV</w:t>
      </w:r>
      <w:r w:rsidRPr="00FD481F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1" w:name="_Hlk179306670"/>
      <w:r w:rsidR="00FD481F" w:rsidRPr="00FD481F">
        <w:rPr>
          <w:rFonts w:ascii="Times New Roman" w:hAnsi="Times New Roman" w:cs="Times New Roman"/>
          <w:sz w:val="24"/>
          <w:szCs w:val="24"/>
          <w:lang w:val="uk-UA"/>
        </w:rPr>
        <w:t xml:space="preserve"> (далі – Закон про бухгалтерський облік);</w:t>
      </w:r>
    </w:p>
    <w:p w14:paraId="3BFB1222" w14:textId="0D44B363" w:rsidR="00C069F9" w:rsidRPr="00FD481F" w:rsidRDefault="003A70B5" w:rsidP="00EA4A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81F">
        <w:rPr>
          <w:rFonts w:ascii="Times New Roman" w:hAnsi="Times New Roman" w:cs="Times New Roman"/>
          <w:sz w:val="24"/>
          <w:szCs w:val="24"/>
          <w:lang w:val="uk-UA"/>
        </w:rPr>
        <w:t>Положення про вимоги до додаткового звіту суб’єкта аудиторської діяльності щодо страховика та порядку його подання, затвердженого Постановою Національного банку України від 15 лютого 2024 року № 20</w:t>
      </w:r>
      <w:r w:rsidR="00001DC8" w:rsidRPr="00FD48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="00001DC8" w:rsidRPr="00FD481F">
        <w:rPr>
          <w:rFonts w:ascii="Times New Roman" w:hAnsi="Times New Roman" w:cs="Times New Roman"/>
          <w:sz w:val="24"/>
          <w:szCs w:val="24"/>
          <w:lang w:val="uk-UA"/>
        </w:rPr>
        <w:t>(далі – Постанова №20)</w:t>
      </w:r>
      <w:bookmarkStart w:id="2" w:name="_Hlk167122320"/>
      <w:r w:rsidR="00FD481F" w:rsidRPr="00FD481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BE7C15E" w14:textId="66F713C7" w:rsidR="00C069F9" w:rsidRPr="00FD481F" w:rsidRDefault="00001DC8" w:rsidP="00C069F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81F">
        <w:rPr>
          <w:rFonts w:ascii="Times New Roman" w:hAnsi="Times New Roman" w:cs="Times New Roman"/>
          <w:sz w:val="24"/>
          <w:szCs w:val="24"/>
          <w:lang w:val="uk-UA"/>
        </w:rPr>
        <w:t>Положення про авторизацію надавачів фінансових послуг та умови здійснення ними діяльності з надання фінансових послуг» затвердженого Постановою Національного банку від 29 грудня 2023 року</w:t>
      </w:r>
      <w:r w:rsidR="00FD481F" w:rsidRPr="00FD481F">
        <w:rPr>
          <w:rFonts w:ascii="Times New Roman" w:hAnsi="Times New Roman" w:cs="Times New Roman"/>
          <w:sz w:val="24"/>
          <w:szCs w:val="24"/>
          <w:lang w:val="uk-UA"/>
        </w:rPr>
        <w:t xml:space="preserve"> № 199 (далі – Постанова </w:t>
      </w:r>
      <w:r w:rsidR="00F71D1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D481F" w:rsidRPr="00FD481F">
        <w:rPr>
          <w:rFonts w:ascii="Times New Roman" w:hAnsi="Times New Roman" w:cs="Times New Roman"/>
          <w:sz w:val="24"/>
          <w:szCs w:val="24"/>
          <w:lang w:val="uk-UA"/>
        </w:rPr>
        <w:t xml:space="preserve">199); </w:t>
      </w:r>
      <w:bookmarkEnd w:id="2"/>
      <w:r w:rsidRPr="00FD48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79306810"/>
    </w:p>
    <w:p w14:paraId="59EB1DFA" w14:textId="799C191F" w:rsidR="00C069F9" w:rsidRPr="00483F60" w:rsidRDefault="00311A40" w:rsidP="00C069F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01DC8" w:rsidRPr="00483F60">
        <w:rPr>
          <w:rFonts w:ascii="Times New Roman" w:hAnsi="Times New Roman" w:cs="Times New Roman"/>
          <w:sz w:val="24"/>
          <w:szCs w:val="24"/>
          <w:lang w:val="uk-UA"/>
        </w:rPr>
        <w:t>равил складання та подання звітності учасниками ринку небанківських фінансових послуг до Національного банку України», затверджених постановою Правління Національного банку України від 25 листопада 2021 року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r w:rsidR="00F71D18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№ 123 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(далі – Постанова </w:t>
      </w:r>
      <w:r w:rsidR="00F71D18" w:rsidRPr="00483F60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>123)</w:t>
      </w:r>
      <w:bookmarkStart w:id="4" w:name="_Hlk179307232"/>
    </w:p>
    <w:bookmarkEnd w:id="4"/>
    <w:p w14:paraId="67D5AF77" w14:textId="0CFA4361" w:rsidR="003A70B5" w:rsidRPr="00266D6C" w:rsidRDefault="003A70B5" w:rsidP="009E4D2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B274D5" w14:textId="77777777" w:rsidR="003A70B5" w:rsidRPr="00483F60" w:rsidRDefault="003A70B5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Hlk179493436"/>
    </w:p>
    <w:p w14:paraId="0BB9619E" w14:textId="2E6AA2D3" w:rsidR="003A70B5" w:rsidRPr="00483F60" w:rsidRDefault="003A70B5" w:rsidP="00C069F9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У цьому Порядку терміни вживаються в такому значенні:</w:t>
      </w:r>
    </w:p>
    <w:bookmarkEnd w:id="5"/>
    <w:p w14:paraId="05BF7B52" w14:textId="7D09E740" w:rsidR="003A70B5" w:rsidRPr="00483F60" w:rsidRDefault="003A70B5" w:rsidP="00001DC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Аудиторський комітет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– комітет Наглядової ради </w:t>
      </w:r>
      <w:r w:rsidR="00C069F9" w:rsidRPr="00483F6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>омпані</w:t>
      </w:r>
      <w:r w:rsidR="00E24195" w:rsidRPr="00483F6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(далі – «Наглядова рада») з питань аудиту, на який відповідно до Закону про аудит покладено відповідні функції аудиторського комітету і який є відповідальним за проведення конкурсу</w:t>
      </w:r>
      <w:r w:rsidR="00001DC8" w:rsidRPr="00483F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4D8782" w14:textId="5A051FA2" w:rsidR="003A70B5" w:rsidRPr="00483F60" w:rsidRDefault="003A70B5" w:rsidP="00001DC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– офіційні веб-сторінки </w:t>
      </w:r>
      <w:r w:rsidR="00C069F9" w:rsidRPr="00483F6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483F60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 в мережі Інтернет </w:t>
      </w:r>
      <w:r w:rsidRPr="00266D6C">
        <w:rPr>
          <w:rFonts w:ascii="Times New Roman" w:hAnsi="Times New Roman" w:cs="Times New Roman"/>
          <w:color w:val="215E99" w:themeColor="text2" w:themeTint="BF"/>
          <w:sz w:val="24"/>
          <w:szCs w:val="24"/>
          <w:lang w:val="uk-UA"/>
        </w:rPr>
        <w:t>(https://</w:t>
      </w:r>
      <w:r w:rsidR="00266D6C" w:rsidRPr="00266D6C">
        <w:rPr>
          <w:color w:val="215E99" w:themeColor="text2" w:themeTint="BF"/>
          <w:lang w:val="uk-UA"/>
        </w:rPr>
        <w:t xml:space="preserve"> </w:t>
      </w:r>
      <w:r w:rsidR="00266D6C" w:rsidRPr="00266D6C">
        <w:rPr>
          <w:rFonts w:ascii="Times New Roman" w:hAnsi="Times New Roman" w:cs="Times New Roman"/>
          <w:color w:val="FF0000"/>
          <w:sz w:val="24"/>
          <w:szCs w:val="24"/>
          <w:lang w:val="uk-UA"/>
        </w:rPr>
        <w:t>https://colonnade.com.ua/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>) з інформаційними ресурсами, на якій розміщується інформація про проведення</w:t>
      </w:r>
      <w:r w:rsidR="00E24195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>конкурсу із забезпеченням доступу юридичним та фізичним особам до цих інформаційних ресурсів через мережу Інтернет.</w:t>
      </w:r>
    </w:p>
    <w:p w14:paraId="3075CFD7" w14:textId="59F50602" w:rsidR="003A70B5" w:rsidRPr="00483F60" w:rsidRDefault="003A70B5" w:rsidP="00001DC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Інформаційне оголошення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– оголошення про проведення конкурсу, яке</w:t>
      </w:r>
      <w:r w:rsidR="00001DC8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>розміщується разом з конкурсною документацією на веб-сайті.</w:t>
      </w:r>
    </w:p>
    <w:p w14:paraId="418583DC" w14:textId="63210CD0" w:rsidR="003A70B5" w:rsidRPr="00483F60" w:rsidRDefault="00001DC8" w:rsidP="00001DC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3A70B5"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ропозиція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– пропозиція щодо технічних, якісних, цінових та інших характеристик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предмета закупівлі (аудиторські послуги), умови надання послуг, підтвердження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професійної і технічної компетентності претендентів, їх відповідність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кваліфікаційним критеріям, строки надання послуг, яку претендент подає відповідно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до вимог конкурсної документації.</w:t>
      </w:r>
    </w:p>
    <w:p w14:paraId="0D436B94" w14:textId="6155D6E9" w:rsidR="003A70B5" w:rsidRPr="00483F60" w:rsidRDefault="00001DC8" w:rsidP="00001DC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  <w:r w:rsidR="003A70B5"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онкурсна документація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– документація щодо умов проведення конкурсу, яка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розкриває необхідну інформацію про діяльність </w:t>
      </w:r>
      <w:r w:rsidR="00C069F9" w:rsidRPr="00483F6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483F60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, містить завдання з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обов’язкового аудиту фінансової звітності, яка затверджується Наглядовою радою і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оприлюднюється для вільного доступу на веб-сайті </w:t>
      </w:r>
      <w:r w:rsidR="00C069F9" w:rsidRPr="00483F6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483F60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47BCB4" w14:textId="410A352F" w:rsidR="003A70B5" w:rsidRPr="00483F60" w:rsidRDefault="00001DC8" w:rsidP="00001DC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Учасник конкурсу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– суб’єкт аудиторської діяльності, який виявив бажання взяти участь у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конкурсі та подав підтверджуючі документи, передбачені умовами конкурсної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документації та інформаційним оголошенням.</w:t>
      </w:r>
    </w:p>
    <w:p w14:paraId="411F0A41" w14:textId="70C32451" w:rsidR="003A70B5" w:rsidRPr="00483F60" w:rsidRDefault="00001DC8" w:rsidP="00001DC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3A70B5"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ідтверджуючі документи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– заява про участь у конкурсі, документи, в яких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зазначено правовий статус претендента, склад аудиторів, які безпосередньо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виконуватимуть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послуги з обов’язкового аудиту фінансової звітності, документи, що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підтверджують право на виконання таких робіт, документи, що підтверджують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досвід претендента конкурсу та інші документи, визначені у конкурсній документації та/або інформаційному оголошенні.</w:t>
      </w:r>
    </w:p>
    <w:p w14:paraId="45601CA8" w14:textId="691DC487" w:rsidR="003A70B5" w:rsidRPr="00483F60" w:rsidRDefault="00001DC8" w:rsidP="00001DC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Ц</w:t>
      </w:r>
      <w:r w:rsidR="003A70B5" w:rsidRPr="00483F60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інова пропозиція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– складова пропозиції 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>учасника конкурсу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, щодо вартості надання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аудиторських послуг для виконання завдання з обов’язкового аудиту фінансової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звітності та інших аудиторських послуг відповідно до конкурсної документації.</w:t>
      </w:r>
    </w:p>
    <w:p w14:paraId="6478A09F" w14:textId="77777777" w:rsidR="00001DC8" w:rsidRPr="00483F60" w:rsidRDefault="00001DC8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8AB3BA" w14:textId="76EC5B54" w:rsidR="003A70B5" w:rsidRDefault="00001DC8" w:rsidP="00C069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3F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нші терміни, наведені в цьому Порядку, зокрема, «аудитор», «суб’єкт аудиторської діяльності», «аудиторська діяльність», «аудит фінансової звітності», «підприємства, що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становлять суспільний інтерес» вживаються у значеннях, наведених у Законі про аудит та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інших нормативно-правових актах, які регулюють відносини, що виникають при</w:t>
      </w:r>
      <w:r w:rsidRPr="00483F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483F60">
        <w:rPr>
          <w:rFonts w:ascii="Times New Roman" w:hAnsi="Times New Roman" w:cs="Times New Roman"/>
          <w:sz w:val="24"/>
          <w:szCs w:val="24"/>
          <w:lang w:val="uk-UA"/>
        </w:rPr>
        <w:t>провадженні аудиторської діяльності. На цей Порядок не поширюється дія Закону України «Про публічні закупівлі».</w:t>
      </w:r>
    </w:p>
    <w:p w14:paraId="63CF0FD9" w14:textId="77777777" w:rsidR="00BD54B2" w:rsidRDefault="00BD54B2" w:rsidP="00C069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C7004C" w14:textId="23E73C2C" w:rsidR="00BD54B2" w:rsidRPr="00BD54B2" w:rsidRDefault="00BD54B2" w:rsidP="00BD54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56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54B2">
        <w:rPr>
          <w:rFonts w:ascii="Times New Roman" w:hAnsi="Times New Roman" w:cs="Times New Roman"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D54B2">
        <w:rPr>
          <w:rFonts w:ascii="Times New Roman" w:hAnsi="Times New Roman" w:cs="Times New Roman"/>
          <w:sz w:val="24"/>
          <w:szCs w:val="24"/>
          <w:lang w:val="uk-UA"/>
        </w:rPr>
        <w:t>єктом</w:t>
      </w:r>
      <w:proofErr w:type="spellEnd"/>
      <w:r w:rsidRPr="00BD54B2">
        <w:rPr>
          <w:rFonts w:ascii="Times New Roman" w:hAnsi="Times New Roman" w:cs="Times New Roman"/>
          <w:sz w:val="24"/>
          <w:szCs w:val="24"/>
          <w:lang w:val="uk-UA"/>
        </w:rPr>
        <w:t xml:space="preserve"> аудиторської перевірки є: </w:t>
      </w:r>
    </w:p>
    <w:p w14:paraId="4DB65D52" w14:textId="70B481A3" w:rsidR="00452467" w:rsidRPr="00BD54B2" w:rsidRDefault="00BD54B2" w:rsidP="00BD54B2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52467" w:rsidRPr="00BD54B2">
        <w:rPr>
          <w:rFonts w:ascii="Times New Roman" w:hAnsi="Times New Roman" w:cs="Times New Roman"/>
          <w:sz w:val="24"/>
          <w:szCs w:val="24"/>
          <w:lang w:val="uk-UA"/>
        </w:rPr>
        <w:t>авдання з обов’язкового аудиту фінансової звітності</w:t>
      </w:r>
      <w:r w:rsidR="00A84CAB" w:rsidRPr="00BD54B2">
        <w:rPr>
          <w:rFonts w:ascii="Times New Roman" w:hAnsi="Times New Roman" w:cs="Times New Roman"/>
          <w:sz w:val="24"/>
          <w:szCs w:val="24"/>
          <w:lang w:val="uk-UA"/>
        </w:rPr>
        <w:t xml:space="preserve"> (далі – Фінансова звітність):</w:t>
      </w:r>
    </w:p>
    <w:p w14:paraId="29D06EDD" w14:textId="7782B6EA" w:rsidR="003A70B5" w:rsidRPr="00BD54B2" w:rsidRDefault="003A70B5" w:rsidP="00BD54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Hlk179307040"/>
      <w:r w:rsidRPr="00BD54B2"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звітність </w:t>
      </w:r>
      <w:r w:rsidR="00BD54B2" w:rsidRPr="00BD54B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BD54B2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BD54B2">
        <w:rPr>
          <w:rFonts w:ascii="Times New Roman" w:hAnsi="Times New Roman" w:cs="Times New Roman"/>
          <w:sz w:val="24"/>
          <w:szCs w:val="24"/>
          <w:lang w:val="uk-UA"/>
        </w:rPr>
        <w:t xml:space="preserve"> (українська обов’язково та англійська версія за необхідності), складен</w:t>
      </w:r>
      <w:r w:rsidR="00BD54B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D54B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МСФЗ за ф</w:t>
      </w:r>
      <w:r w:rsidR="009E4D2D">
        <w:rPr>
          <w:rFonts w:ascii="Times New Roman" w:hAnsi="Times New Roman" w:cs="Times New Roman"/>
          <w:sz w:val="24"/>
          <w:szCs w:val="24"/>
          <w:lang w:val="uk-UA"/>
        </w:rPr>
        <w:t>інансов</w:t>
      </w:r>
      <w:r w:rsidRPr="00BD54B2">
        <w:rPr>
          <w:rFonts w:ascii="Times New Roman" w:hAnsi="Times New Roman" w:cs="Times New Roman"/>
          <w:sz w:val="24"/>
          <w:szCs w:val="24"/>
          <w:lang w:val="uk-UA"/>
        </w:rPr>
        <w:t xml:space="preserve">ий рік (звітний період) (далі – «Фінансова звітність») відповідно до вимог законодавства, а також вимог Міжнародних стандартів контролю якості, аудиту, огляду, іншого надання впевненості та супутніх послуг Міжнародної федерації бухгалтерів, що прийняті у якості Національних стандартів аудиту (далі – «МСА»), з урахуванням вимог Закону про аудит. </w:t>
      </w:r>
    </w:p>
    <w:p w14:paraId="329E79F4" w14:textId="77777777" w:rsidR="00311A40" w:rsidRPr="00BD54B2" w:rsidRDefault="00001DC8" w:rsidP="00BD54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Hlk179306614"/>
      <w:r w:rsidRPr="00BD54B2">
        <w:rPr>
          <w:rFonts w:ascii="Times New Roman" w:hAnsi="Times New Roman" w:cs="Times New Roman"/>
          <w:sz w:val="24"/>
          <w:szCs w:val="24"/>
          <w:lang w:val="uk-UA"/>
        </w:rPr>
        <w:t>Звіт елементів та статей фінансової звітності</w:t>
      </w:r>
      <w:r w:rsidR="00311A40" w:rsidRPr="00BD54B2">
        <w:rPr>
          <w:rFonts w:ascii="Times New Roman" w:hAnsi="Times New Roman" w:cs="Times New Roman"/>
          <w:sz w:val="24"/>
          <w:szCs w:val="24"/>
          <w:lang w:val="uk-UA"/>
        </w:rPr>
        <w:t>, складеного у відповідності Постанови №20;</w:t>
      </w:r>
    </w:p>
    <w:bookmarkEnd w:id="7"/>
    <w:p w14:paraId="2B60C19D" w14:textId="698A5071" w:rsidR="00A84CAB" w:rsidRPr="00BD54B2" w:rsidRDefault="00A84CAB" w:rsidP="009E4D2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0F55F1" w14:textId="38031FE4" w:rsidR="00A84CAB" w:rsidRPr="00BD54B2" w:rsidRDefault="00A84CAB" w:rsidP="00BD54B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4B2">
        <w:rPr>
          <w:rFonts w:ascii="Times New Roman" w:hAnsi="Times New Roman" w:cs="Times New Roman"/>
          <w:sz w:val="24"/>
          <w:szCs w:val="24"/>
          <w:lang w:val="uk-UA"/>
        </w:rPr>
        <w:t xml:space="preserve">Інші завдання: </w:t>
      </w:r>
    </w:p>
    <w:p w14:paraId="72514DE9" w14:textId="2FF344B9" w:rsidR="00001DC8" w:rsidRPr="009E4D2D" w:rsidRDefault="00311A40" w:rsidP="00BD54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_Hlk179306722"/>
      <w:r w:rsidRPr="00BD54B2">
        <w:rPr>
          <w:rFonts w:ascii="Times New Roman" w:hAnsi="Times New Roman" w:cs="Times New Roman"/>
          <w:sz w:val="24"/>
          <w:szCs w:val="24"/>
          <w:lang w:val="uk-UA"/>
        </w:rPr>
        <w:t>Річні звітні дані (даних звітності) Страховика, складен</w:t>
      </w:r>
      <w:r w:rsidR="00BD54B2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9E4D2D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№123</w:t>
      </w:r>
      <w:bookmarkEnd w:id="8"/>
      <w:r w:rsidR="00BD54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6"/>
    <w:p w14:paraId="6E614B4C" w14:textId="25929314" w:rsidR="00311A40" w:rsidRPr="00C069F9" w:rsidRDefault="00311A40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04AA9A95" w14:textId="002B9EDD" w:rsidR="003A70B5" w:rsidRPr="009661E3" w:rsidRDefault="003A70B5" w:rsidP="009661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Конкурсна документація може містити додаткові завдання щодо надання інших аудиторських послуг, не пов’язаних з обов’язковим аудитом фінансової звітності. Список додаткових аудиторських послуг визначається Правлінням та виноситься на попередній розгляд Аудиторського комітету для подальшого прийняття рішення Наглядовою радою до початку проведення конкурсу з пропозицією їх включення до конкурсної документації. У випадку включення рішенням Наглядової ради додаткових аудиторських послуг до завдань, що містяться у конкурсній документації, Аудиторський комітет одночасно проводить конкурс з відбору суб’єктів аудиторської діяльності для надання послуг з обов’язкового аудиту фінансової звітності </w:t>
      </w:r>
      <w:r w:rsidR="00E24195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61E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9661E3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 та інших аудиторських послуг відповідно до умов цього Порядку.</w:t>
      </w:r>
    </w:p>
    <w:p w14:paraId="1FF8FF00" w14:textId="23F365BF" w:rsidR="003A70B5" w:rsidRPr="00C069F9" w:rsidRDefault="003A70B5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654E6380" w14:textId="53FF1C3A" w:rsidR="003A70B5" w:rsidRPr="009661E3" w:rsidRDefault="009661E3" w:rsidP="009661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E54D0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омпанія </w:t>
      </w:r>
      <w:r w:rsidR="003A70B5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11A40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початку </w:t>
      </w:r>
      <w:r w:rsidR="003A70B5" w:rsidRPr="009661E3">
        <w:rPr>
          <w:rFonts w:ascii="Times New Roman" w:hAnsi="Times New Roman" w:cs="Times New Roman"/>
          <w:sz w:val="24"/>
          <w:szCs w:val="24"/>
          <w:lang w:val="uk-UA"/>
        </w:rPr>
        <w:t>проведення аудиту фінансової звітності уклада</w:t>
      </w:r>
      <w:r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3A70B5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 з суб’єктом аудиторської діяльності, визначеним для виконання обов’язкового аудиту фінансової звітності, договір про надання аудиторських послуг відповідно до вимог законодавства.</w:t>
      </w:r>
    </w:p>
    <w:p w14:paraId="13729D93" w14:textId="77777777" w:rsidR="00311A40" w:rsidRPr="009661E3" w:rsidRDefault="00311A40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5628D4DB" w14:textId="5E3562A7" w:rsidR="003A70B5" w:rsidRPr="009661E3" w:rsidRDefault="003A70B5" w:rsidP="009661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Суб’єкт аудиторської діяльності, визначений для виконання основного завдання з обов’язкового аудиту фінансової звітності, відповідно до цього Порядку, також за потреби може надавати неаудиторські послуги на підставі окремих договорів з урахуванням обмежень, встановлених Законом про аудит.</w:t>
      </w:r>
    </w:p>
    <w:p w14:paraId="1E037379" w14:textId="77777777" w:rsidR="00AD1C9A" w:rsidRPr="00C069F9" w:rsidRDefault="00AD1C9A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709EB43C" w14:textId="4036FED3" w:rsidR="003A70B5" w:rsidRPr="009661E3" w:rsidRDefault="003A70B5" w:rsidP="009661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Складені Аудиторські звіти мають відповідати вимогам законодавства України, у тому числі, вимогам Закону про аудит, </w:t>
      </w:r>
      <w:r w:rsidR="00AD1C9A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нормативно-правових актів Національного банку України, Національної комісії з цінних паперів та фондового ринку. </w:t>
      </w:r>
    </w:p>
    <w:p w14:paraId="13755A82" w14:textId="0969A3DF" w:rsidR="003A70B5" w:rsidRPr="009661E3" w:rsidRDefault="003A70B5" w:rsidP="009661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Відбір </w:t>
      </w:r>
      <w:proofErr w:type="spellStart"/>
      <w:r w:rsidRPr="009661E3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="009661E3" w:rsidRPr="009661E3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9661E3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 аудиторської діяльності здійснюється за такими принципами:</w:t>
      </w:r>
    </w:p>
    <w:p w14:paraId="181DF8AF" w14:textId="0A4ECA65" w:rsidR="003A70B5" w:rsidRPr="009661E3" w:rsidRDefault="003A70B5" w:rsidP="009661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відкритість та прозорість на усіх етапах конкурсу;</w:t>
      </w:r>
    </w:p>
    <w:p w14:paraId="50DA01AD" w14:textId="10E9A4AA" w:rsidR="003A70B5" w:rsidRPr="009661E3" w:rsidRDefault="003A70B5" w:rsidP="009661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економія та ефективність;</w:t>
      </w:r>
    </w:p>
    <w:p w14:paraId="567F3B37" w14:textId="453EBFED" w:rsidR="003A70B5" w:rsidRPr="009661E3" w:rsidRDefault="003A70B5" w:rsidP="009661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добросовісна конкуренція;</w:t>
      </w:r>
    </w:p>
    <w:p w14:paraId="6A0F8000" w14:textId="595F254F" w:rsidR="003A70B5" w:rsidRPr="009661E3" w:rsidRDefault="003A70B5" w:rsidP="009661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відсутність дискримінації;</w:t>
      </w:r>
    </w:p>
    <w:p w14:paraId="54C46B66" w14:textId="72D0BDB3" w:rsidR="003A70B5" w:rsidRPr="009661E3" w:rsidRDefault="003A70B5" w:rsidP="009661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об’єктивна та неупереджена оцінка кваліфікаційних, якісних та цінових пропозицій;</w:t>
      </w:r>
    </w:p>
    <w:p w14:paraId="0E590F4F" w14:textId="255E1FD7" w:rsidR="003A70B5" w:rsidRPr="009661E3" w:rsidRDefault="003A70B5" w:rsidP="009661E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запобігання корупційним діям і зловживанням.</w:t>
      </w:r>
    </w:p>
    <w:p w14:paraId="1F52BFED" w14:textId="77777777" w:rsidR="00AD1C9A" w:rsidRPr="009661E3" w:rsidRDefault="00AD1C9A" w:rsidP="00AD1C9A">
      <w:pPr>
        <w:spacing w:after="0" w:line="240" w:lineRule="auto"/>
        <w:jc w:val="both"/>
        <w:rPr>
          <w:rFonts w:asciiTheme="majorHAnsi" w:hAnsiTheme="majorHAnsi"/>
          <w:lang w:val="uk-UA"/>
        </w:rPr>
      </w:pPr>
    </w:p>
    <w:p w14:paraId="4180415E" w14:textId="1F1FA293" w:rsidR="003A70B5" w:rsidRPr="009661E3" w:rsidRDefault="009661E3" w:rsidP="009661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1E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E54D0" w:rsidRPr="009661E3">
        <w:rPr>
          <w:rFonts w:ascii="Times New Roman" w:hAnsi="Times New Roman" w:cs="Times New Roman"/>
          <w:sz w:val="24"/>
          <w:szCs w:val="24"/>
          <w:lang w:val="uk-UA"/>
        </w:rPr>
        <w:t>омпанія</w:t>
      </w:r>
      <w:r w:rsidR="00A9327F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9661E3">
        <w:rPr>
          <w:rFonts w:ascii="Times New Roman" w:hAnsi="Times New Roman" w:cs="Times New Roman"/>
          <w:sz w:val="24"/>
          <w:szCs w:val="24"/>
          <w:lang w:val="uk-UA"/>
        </w:rPr>
        <w:t>не встановлю</w:t>
      </w:r>
      <w:r w:rsidR="00A9327F" w:rsidRPr="009661E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3A70B5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 дискримінаційних вимог та забезпечу</w:t>
      </w:r>
      <w:r w:rsidR="00A9327F" w:rsidRPr="009661E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3A70B5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 вільний доступ до участі у конкурсі всіх суб’єктів аудиторської діяльності, які відповідають вимогам, встановленим</w:t>
      </w:r>
      <w:r w:rsidR="00AD1C9A" w:rsidRPr="00966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9661E3">
        <w:rPr>
          <w:rFonts w:ascii="Times New Roman" w:hAnsi="Times New Roman" w:cs="Times New Roman"/>
          <w:sz w:val="24"/>
          <w:szCs w:val="24"/>
          <w:lang w:val="uk-UA"/>
        </w:rPr>
        <w:t>цим Порядком та/або умовами проведення конкурсу.</w:t>
      </w:r>
    </w:p>
    <w:p w14:paraId="76E7ED05" w14:textId="77777777" w:rsidR="00AD1C9A" w:rsidRPr="00C069F9" w:rsidRDefault="00AD1C9A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114DAA44" w14:textId="6A0CD9FB" w:rsidR="003A70B5" w:rsidRPr="000D2DB5" w:rsidRDefault="003A70B5" w:rsidP="000D2DB5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До проведення аудиту фінансової звітності 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0D2DB5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 можуть бути залучені суб’єкти аудиторської діяльності, які відповідають наступним критеріям: </w:t>
      </w:r>
    </w:p>
    <w:p w14:paraId="6B89A354" w14:textId="4F898616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9" w:name="_Hlk179308027"/>
      <w:r w:rsidRPr="000D2DB5">
        <w:rPr>
          <w:rFonts w:ascii="Times New Roman" w:hAnsi="Times New Roman" w:cs="Times New Roman"/>
          <w:sz w:val="24"/>
          <w:szCs w:val="24"/>
          <w:lang w:val="uk-UA"/>
        </w:rPr>
        <w:t>відповідають вимогам, встановленим Законом про аудит</w:t>
      </w:r>
      <w:r w:rsidR="002D463D" w:rsidRPr="000D2D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E71843A" w14:textId="735303E3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включені до окремого розділу Реєстру аудиторів та суб’єктів аудиторської діяльності, а саме до Реєстру суб’єктів аудиторської діяльності, які мають право проводити обов’язковий аудит фінансової звітності підприємств, що становлять суспільний інтерес; </w:t>
      </w:r>
    </w:p>
    <w:p w14:paraId="3C1B1CDE" w14:textId="6D953AC2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мають достатній рівень кваліфікації та досвіду аудиторів і персоналу, який залучається до надання послуг, відповідно до міжнародних стандартів аудиту; </w:t>
      </w:r>
    </w:p>
    <w:p w14:paraId="5C89C76A" w14:textId="764A3605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мають бездоганну репутацію (відсутні протягом трьох років поспіль застосування до аудиторської фірми стягнень у вигляді попередження або зупинення права на надання послуг з обов’язкового аудиту фінансової звітності або обов’язкового аудиту фінансової звітності підприємства, що становлять суспільний інтерес); </w:t>
      </w:r>
    </w:p>
    <w:p w14:paraId="3DD2AA04" w14:textId="4E29DB5C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>відсутність в аудиторської фірми, її керівника та/або аудиторів, які за основним місцем роботи працюють в аудиторській фірмі, будь-яких стягнень, що застосовувалися протягом останніх трьох років органом, який регулює/регулював аудиторську діяльність;</w:t>
      </w:r>
    </w:p>
    <w:p w14:paraId="038400F3" w14:textId="75D32C06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>можуть забезпечити достатній рівень забезпеченості працівниками за основним місцем роботи для виконання завдань з обов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>язкового аудиту фінансової звітності (за основним місцем роботи має працювати не менше п’яти аудиторів із загальною чисельністю штатних кваліфікованих працівників, які залучаються до виконання завдань, не менше 10 осіб, з яких щонайменше дві особи повинні підтвердити кваліфікацію відповідно до ст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19 Закону про аудит, або мати чинні сертифікати (дипломи) професійних організацій, що підтверджують високий рівень знань з міжнародних стандартів фінансової звітності); </w:t>
      </w:r>
    </w:p>
    <w:p w14:paraId="114257D8" w14:textId="6AEE0107" w:rsidR="00AD1C9A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>відсутні порушення вимог щодо забезпечення незалежності суб’єкта аудиторської діяльності, у тому числі аудитор, суб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>єкт аудиторської діяльності, його ключові партнери з аудиту, його власники (засновники, учасники), посадові особи і працівники та інші особи, залучені до надання таких послуг, а також близькі родичі та члени сім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>ї зазначених осіб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2D6C74" w14:textId="5E97860A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не перебували протягом періодів, зазначених </w:t>
      </w:r>
      <w:r w:rsidRPr="004C2F78">
        <w:rPr>
          <w:rFonts w:ascii="Times New Roman" w:hAnsi="Times New Roman" w:cs="Times New Roman"/>
          <w:sz w:val="24"/>
          <w:szCs w:val="24"/>
          <w:lang w:val="uk-UA"/>
        </w:rPr>
        <w:t>у частині першій ст</w:t>
      </w:r>
      <w:r w:rsidR="000D2DB5" w:rsidRPr="004C2F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C2F78">
        <w:rPr>
          <w:rFonts w:ascii="Times New Roman" w:hAnsi="Times New Roman" w:cs="Times New Roman"/>
          <w:sz w:val="24"/>
          <w:szCs w:val="24"/>
          <w:lang w:val="uk-UA"/>
        </w:rPr>
        <w:t xml:space="preserve"> 10 Закону про аудит, у трудових, договірних або інших відноси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нах з 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9327F" w:rsidRPr="000D2DB5">
        <w:rPr>
          <w:rFonts w:ascii="Times New Roman" w:hAnsi="Times New Roman" w:cs="Times New Roman"/>
          <w:sz w:val="24"/>
          <w:szCs w:val="24"/>
          <w:lang w:val="uk-UA"/>
        </w:rPr>
        <w:t>омпанією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BA66553" w14:textId="40AF5FD0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>відсутні обмеження щодо надання послуг, передбачені ст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 Закону про аудит; </w:t>
      </w:r>
    </w:p>
    <w:p w14:paraId="2989EA0F" w14:textId="1DF4B6A2" w:rsidR="003A70B5" w:rsidRPr="0097724C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24C">
        <w:rPr>
          <w:rFonts w:ascii="Times New Roman" w:hAnsi="Times New Roman" w:cs="Times New Roman"/>
          <w:sz w:val="24"/>
          <w:szCs w:val="24"/>
          <w:lang w:val="uk-UA"/>
        </w:rPr>
        <w:t xml:space="preserve">не мають обмежень, пов’язаних із тривалістю надання послуг </w:t>
      </w:r>
      <w:r w:rsidR="000D2DB5" w:rsidRPr="0097724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D1C9A" w:rsidRPr="0097724C">
        <w:rPr>
          <w:rFonts w:ascii="Times New Roman" w:hAnsi="Times New Roman" w:cs="Times New Roman"/>
          <w:sz w:val="24"/>
          <w:szCs w:val="24"/>
          <w:lang w:val="uk-UA"/>
        </w:rPr>
        <w:t>омпані</w:t>
      </w:r>
      <w:r w:rsidR="00847037" w:rsidRPr="0097724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97724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62B848AC" w14:textId="096CB454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за попередній річний звітний період суми винагороди 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 відсотків загальної суми доходу від надання аудиторських послуг; </w:t>
      </w:r>
    </w:p>
    <w:p w14:paraId="3FDF7D9F" w14:textId="68CDCC22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мають чинний договір страхування цивільно-правової відповідальності перед третіми особами, укладений відповідно до положень чинного законодавства України; </w:t>
      </w:r>
    </w:p>
    <w:p w14:paraId="50E9EEFF" w14:textId="5289A2B9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мають </w:t>
      </w:r>
      <w:r w:rsidR="00847037"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(в особах залученого до аудиту персоналу) 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досвід надання послуг щодо аудиту фінансової звітності відповідно до міжнародних стандартів та досвід проведення аудиту фінансової звітності </w:t>
      </w:r>
      <w:r w:rsidR="00847037" w:rsidRPr="000D2DB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4195" w:rsidRPr="000D2DB5">
        <w:rPr>
          <w:rFonts w:ascii="Times New Roman" w:hAnsi="Times New Roman" w:cs="Times New Roman"/>
          <w:sz w:val="24"/>
          <w:szCs w:val="24"/>
          <w:lang w:val="uk-UA"/>
        </w:rPr>
        <w:t>трахов</w:t>
      </w:r>
      <w:r w:rsidR="00847037" w:rsidRPr="000D2DB5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E24195"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 компані</w:t>
      </w:r>
      <w:r w:rsidR="00847037" w:rsidRPr="000D2DB5">
        <w:rPr>
          <w:rFonts w:ascii="Times New Roman" w:hAnsi="Times New Roman" w:cs="Times New Roman"/>
          <w:sz w:val="24"/>
          <w:szCs w:val="24"/>
          <w:lang w:val="uk-UA"/>
        </w:rPr>
        <w:t>й України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1FD2A81" w14:textId="6AAEBD8E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>відсутність у суб’єкта аудиторської діяльності існуючого та/або потенційного конфлікту інтересів і загроз незалежності під час надання аудиторських послуг;</w:t>
      </w:r>
    </w:p>
    <w:p w14:paraId="091FB237" w14:textId="1E30C324" w:rsidR="003A70B5" w:rsidRPr="000D2DB5" w:rsidRDefault="00A9327F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відсутність у суб’єкта аудиторської діяльності </w:t>
      </w:r>
      <w:r w:rsidR="003A70B5"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перевищення щорічної загальної суми винагороди суб’єкта аудиторської діяльності 15 відсотків загальної суми чистого доходу від надання послуг таким суб’єктом аудиторської діяльності 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="00847037"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0D2DB5">
        <w:rPr>
          <w:rFonts w:ascii="Times New Roman" w:hAnsi="Times New Roman" w:cs="Times New Roman"/>
          <w:sz w:val="24"/>
          <w:szCs w:val="24"/>
          <w:lang w:val="uk-UA"/>
        </w:rPr>
        <w:t>впродовж п’яти років поспіль, а також перевищення 15 відсотків загальної суми доходу від надання аудиторських послуг аудиторської фірми суми винагороди, отриманої аудиторською фірмою за попередній річний звітний період від кожного з підприємств, що становлять суспільний інтерес і яким надавалися послуги з обов’язкового аудиту фінансової звітності протягом цього періоду;</w:t>
      </w:r>
    </w:p>
    <w:p w14:paraId="57E13659" w14:textId="7A5E9823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>відсутність застосування до суб’єкта аудиторської діяльності, власників його істотної участі або пов’язаних з ним осіб протягом останніх 12 місяців спеціальних економічних та інших обмежувальних заходів Україною та/або іноземними державами - членами Організації економічного співробітництва та розвитку, та/або Європейським Союзом;</w:t>
      </w:r>
    </w:p>
    <w:p w14:paraId="647DFCB5" w14:textId="6E3B704B" w:rsidR="003A70B5" w:rsidRPr="000D2DB5" w:rsidRDefault="003A70B5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DB5">
        <w:rPr>
          <w:rFonts w:ascii="Times New Roman" w:hAnsi="Times New Roman" w:cs="Times New Roman"/>
          <w:sz w:val="24"/>
          <w:szCs w:val="24"/>
          <w:lang w:val="uk-UA"/>
        </w:rPr>
        <w:t>ключовий партнер з аудиту та/або аудитори, які безпосередньо залучатимуться для проведення аудиту фінансової звітності, має(</w:t>
      </w:r>
      <w:proofErr w:type="spellStart"/>
      <w:r w:rsidRPr="000D2DB5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0D2DB5">
        <w:rPr>
          <w:rFonts w:ascii="Times New Roman" w:hAnsi="Times New Roman" w:cs="Times New Roman"/>
          <w:sz w:val="24"/>
          <w:szCs w:val="24"/>
          <w:lang w:val="uk-UA"/>
        </w:rPr>
        <w:t>) документально підтверджений досвід роботи з надання аудиторських послуг щодо проведення обов</w:t>
      </w:r>
      <w:r w:rsidR="000D2DB5" w:rsidRPr="000D2DB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язкового аудиту фінансової звітності </w:t>
      </w:r>
      <w:r w:rsidR="00A9327F" w:rsidRPr="000D2DB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24195" w:rsidRPr="000D2DB5">
        <w:rPr>
          <w:rFonts w:ascii="Times New Roman" w:hAnsi="Times New Roman" w:cs="Times New Roman"/>
          <w:sz w:val="24"/>
          <w:szCs w:val="24"/>
          <w:lang w:val="uk-UA"/>
        </w:rPr>
        <w:t>трахов</w:t>
      </w:r>
      <w:r w:rsidR="00A9327F"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="00E24195" w:rsidRPr="000D2DB5">
        <w:rPr>
          <w:rFonts w:ascii="Times New Roman" w:hAnsi="Times New Roman" w:cs="Times New Roman"/>
          <w:sz w:val="24"/>
          <w:szCs w:val="24"/>
          <w:lang w:val="uk-UA"/>
        </w:rPr>
        <w:t>компан</w:t>
      </w:r>
      <w:r w:rsidR="00A9327F" w:rsidRPr="000D2DB5">
        <w:rPr>
          <w:rFonts w:ascii="Times New Roman" w:hAnsi="Times New Roman" w:cs="Times New Roman"/>
          <w:sz w:val="24"/>
          <w:szCs w:val="24"/>
          <w:lang w:val="uk-UA"/>
        </w:rPr>
        <w:t>іям України</w:t>
      </w:r>
      <w:r w:rsidR="002D463D" w:rsidRPr="000D2DB5">
        <w:rPr>
          <w:rFonts w:ascii="Times New Roman" w:hAnsi="Times New Roman" w:cs="Times New Roman"/>
          <w:sz w:val="24"/>
          <w:szCs w:val="24"/>
          <w:lang w:val="uk-UA"/>
        </w:rPr>
        <w:t xml:space="preserve"> не менше 3 років</w:t>
      </w:r>
      <w:r w:rsidR="00486064" w:rsidRPr="000D2D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098C161" w14:textId="59297073" w:rsidR="00764F8B" w:rsidRPr="00411E3B" w:rsidRDefault="00764F8B" w:rsidP="000D2D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_Hlk179309318"/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суб’єкт аудиторської діяльності успішно пройшов </w:t>
      </w:r>
      <w:r w:rsidRPr="00411E3B">
        <w:rPr>
          <w:rFonts w:ascii="Times New Roman" w:hAnsi="Times New Roman" w:cs="Times New Roman"/>
          <w:sz w:val="24"/>
          <w:szCs w:val="24"/>
          <w:lang w:val="uk-UA" w:eastAsia="uk-UA"/>
        </w:rPr>
        <w:t>контроль якості аудиторських послуг з боку Органу суспільного нагляду за аудиторською діяльністю в строки, зазначені в законодавстві України;</w:t>
      </w:r>
    </w:p>
    <w:bookmarkEnd w:id="10"/>
    <w:p w14:paraId="70F1BB41" w14:textId="58CFD7D2" w:rsidR="003A70B5" w:rsidRPr="00411E3B" w:rsidRDefault="00A9327F" w:rsidP="00411E3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суб’єкт аудиторської діяльності (в</w:t>
      </w:r>
      <w:r w:rsidR="00847037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тому числі в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особі залученого </w:t>
      </w:r>
      <w:r w:rsidR="00847037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для аудиту 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персоналу) </w:t>
      </w:r>
      <w:r w:rsidR="003A70B5" w:rsidRPr="00411E3B">
        <w:rPr>
          <w:rFonts w:ascii="Times New Roman" w:hAnsi="Times New Roman" w:cs="Times New Roman"/>
          <w:sz w:val="24"/>
          <w:szCs w:val="24"/>
          <w:lang w:val="uk-UA"/>
        </w:rPr>
        <w:t>спроможн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3A70B5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надання </w:t>
      </w:r>
      <w:r w:rsidR="0097724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>омпанії звітів</w:t>
      </w:r>
      <w:r w:rsidR="003A70B5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незалежного аудитора щодо фінансової звітності та </w:t>
      </w:r>
      <w:r w:rsidR="00486064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інших обов’язкових звітів </w:t>
      </w:r>
      <w:r w:rsidR="003A70B5" w:rsidRPr="00411E3B">
        <w:rPr>
          <w:rFonts w:ascii="Times New Roman" w:hAnsi="Times New Roman" w:cs="Times New Roman"/>
          <w:sz w:val="24"/>
          <w:szCs w:val="24"/>
          <w:lang w:val="uk-UA"/>
        </w:rPr>
        <w:t>у строк, визначений нормативно-правовими актами Національного банку України</w:t>
      </w:r>
      <w:r w:rsidR="00486064" w:rsidRPr="00411E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9"/>
    <w:p w14:paraId="6433CA2E" w14:textId="77777777" w:rsidR="00486064" w:rsidRPr="00C069F9" w:rsidRDefault="00486064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1D0B718A" w14:textId="12CA3D16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Вимоги та критерії залучення/відбору суб’єктів аудиторської діяльності можуть конкретизуватись та уточнюватись/доповнюватись в інформаційному оголошенні.</w:t>
      </w:r>
    </w:p>
    <w:p w14:paraId="485F0404" w14:textId="77777777" w:rsidR="00486064" w:rsidRPr="00411E3B" w:rsidRDefault="00486064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FB4FD3" w14:textId="22778603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Суб</w:t>
      </w:r>
      <w:r w:rsidR="00411E3B" w:rsidRPr="00411E3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>єкти аудиторської діяльності повинні надати документально підтверджену інформацію, перелік якої визначений в інформаційному оголошенні.</w:t>
      </w:r>
    </w:p>
    <w:p w14:paraId="33812F1F" w14:textId="77777777" w:rsidR="00486064" w:rsidRPr="00411E3B" w:rsidRDefault="00486064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04F553" w14:textId="3BF48557" w:rsidR="003A70B5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Фінансова звітність та інша публічна інформація </w:t>
      </w:r>
      <w:r w:rsidR="00411E3B" w:rsidRPr="00411E3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411E3B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розміщується на офіційному веб-сайті</w:t>
      </w:r>
      <w:r w:rsidR="00486064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1E3B" w:rsidRPr="00411E3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411E3B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. Додаткова інформація про діяльність </w:t>
      </w:r>
      <w:r w:rsidR="00411E3B" w:rsidRPr="00411E3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411E3B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(із забезпеченням дотримання вимог щодо інформації з обмеженим доступом) безкоштовно надається у разі необхідності та відповідно до обґрунтованого запиту учасника конкурсу.</w:t>
      </w:r>
    </w:p>
    <w:p w14:paraId="2AB1718E" w14:textId="77777777" w:rsidR="00411E3B" w:rsidRPr="00411E3B" w:rsidRDefault="00411E3B" w:rsidP="00411E3B">
      <w:pPr>
        <w:pStyle w:val="ListParagraph"/>
        <w:rPr>
          <w:rFonts w:ascii="Times New Roman" w:hAnsi="Times New Roman" w:cs="Times New Roman"/>
          <w:sz w:val="24"/>
          <w:szCs w:val="24"/>
          <w:lang w:val="uk-UA"/>
        </w:rPr>
      </w:pPr>
    </w:p>
    <w:p w14:paraId="5164FFAD" w14:textId="77777777" w:rsidR="00411E3B" w:rsidRPr="00411E3B" w:rsidRDefault="00411E3B" w:rsidP="00411E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9240E" w14:textId="77777777" w:rsidR="00486064" w:rsidRPr="00C069F9" w:rsidRDefault="00486064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018AEFC4" w14:textId="153D2955" w:rsidR="00452467" w:rsidRPr="00411E3B" w:rsidRDefault="00452467" w:rsidP="00411E3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1E3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ВИМОГИ ТА КРИТЕРІЇ ВІДБОРУ СУБ’ЄКТІВ АУДИТОРСЬКОЇ ДІЯЛЬНОСТІ ДО УЧАСТІ У КОНКУРСІ</w:t>
      </w:r>
    </w:p>
    <w:p w14:paraId="345EAC3B" w14:textId="77777777" w:rsidR="00411E3B" w:rsidRDefault="00411E3B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37DD64E0" w14:textId="073FD9E0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Аудиторські послуги можуть надаватися лише </w:t>
      </w:r>
      <w:proofErr w:type="spellStart"/>
      <w:r w:rsidRPr="00411E3B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="00411E3B" w:rsidRPr="00411E3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411E3B">
        <w:rPr>
          <w:rFonts w:ascii="Times New Roman" w:hAnsi="Times New Roman" w:cs="Times New Roman"/>
          <w:sz w:val="24"/>
          <w:szCs w:val="24"/>
          <w:lang w:val="uk-UA"/>
        </w:rPr>
        <w:t>єктом</w:t>
      </w:r>
      <w:proofErr w:type="spellEnd"/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аудиторської діяльності, який відповідає вимогам, встановленим Законом про аудит до суб’єктів аудиторської діяльності, які можуть надавати послуги з обов’язкового аудиту фінансової звітності підприємств, що становлять суспільний інтерес, включений до відповідного розділу Реєстру аудиторів та суб’єктів аудиторської діяльності в частині суб’єктів аудиторської 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lastRenderedPageBreak/>
        <w:t>діяльності, які мають право проводити обов’язковий аудит фінансової звітності підприємств, що становлять суспільний інтерес.</w:t>
      </w:r>
    </w:p>
    <w:p w14:paraId="4320869E" w14:textId="77777777" w:rsidR="00486064" w:rsidRPr="00C069F9" w:rsidRDefault="00486064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4373A97C" w14:textId="20187A6F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Не підлягають розгляду пропозиції претендента, за наявності хоча б однієї з таких підстав:</w:t>
      </w:r>
    </w:p>
    <w:p w14:paraId="42570D65" w14:textId="77777777" w:rsidR="00486064" w:rsidRPr="00411E3B" w:rsidRDefault="00486064" w:rsidP="00411E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невідповідність пропозиції умовам конкурсної документації та інформаційному оголошенню; </w:t>
      </w:r>
    </w:p>
    <w:p w14:paraId="2933981D" w14:textId="77777777" w:rsidR="00486064" w:rsidRPr="00411E3B" w:rsidRDefault="00486064" w:rsidP="00411E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невідповідність учасника конкурсу вимогам, встановленим цим Порядком та/або умовами проведення конкурсу, та/або інформаційному оголошенні;</w:t>
      </w:r>
    </w:p>
    <w:p w14:paraId="6CD5C34A" w14:textId="77777777" w:rsidR="00486064" w:rsidRPr="00411E3B" w:rsidRDefault="00486064" w:rsidP="00411E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надання неповного пакету документів або не достовірної інформації; </w:t>
      </w:r>
    </w:p>
    <w:p w14:paraId="7914A2F7" w14:textId="77777777" w:rsidR="00486064" w:rsidRPr="00411E3B" w:rsidRDefault="00486064" w:rsidP="00411E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подання пропозиції після кінцевого строку подачі;</w:t>
      </w:r>
    </w:p>
    <w:p w14:paraId="15444768" w14:textId="3320AC33" w:rsidR="00486064" w:rsidRPr="00411E3B" w:rsidRDefault="00486064" w:rsidP="00411E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строки (терміни) виконання аудиторського завдання не відповідають вимогам законодавства та/або </w:t>
      </w:r>
      <w:r w:rsidR="00411E3B" w:rsidRPr="00411E3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411E3B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5CB39D0D" w14:textId="77741261" w:rsidR="00486064" w:rsidRPr="00411E3B" w:rsidRDefault="00486064" w:rsidP="00411E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за наявності інших підстав, передбачених чинним законодавством.</w:t>
      </w:r>
    </w:p>
    <w:p w14:paraId="79093549" w14:textId="77777777" w:rsidR="00452467" w:rsidRPr="00411E3B" w:rsidRDefault="00452467" w:rsidP="0045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29119C" w14:textId="1A3A3A26" w:rsidR="00452467" w:rsidRPr="00411E3B" w:rsidRDefault="00452467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Забороняється встановлювати в договорі між </w:t>
      </w:r>
      <w:r w:rsidR="0097724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9327F" w:rsidRPr="00411E3B">
        <w:rPr>
          <w:rFonts w:ascii="Times New Roman" w:hAnsi="Times New Roman" w:cs="Times New Roman"/>
          <w:sz w:val="24"/>
          <w:szCs w:val="24"/>
          <w:lang w:val="uk-UA"/>
        </w:rPr>
        <w:t>омпанією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та третьою стороною вимоги чи критерії до суб’єктів аудиторської діяльності, які можуть бути визначені для надання послуг з обов’язкового аудиту фінансової звітності </w:t>
      </w:r>
      <w:r w:rsidR="00411E3B" w:rsidRPr="00411E3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411E3B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>, або зазначати перелік суб’єктів аудиторської діяльності, з яких може бути зроблено вибір, або найменування конкретного суб’єкта аудиторської діяльності.</w:t>
      </w:r>
    </w:p>
    <w:p w14:paraId="307B976D" w14:textId="77777777" w:rsidR="00452467" w:rsidRPr="00C069F9" w:rsidRDefault="00452467" w:rsidP="00452467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4241BBD8" w14:textId="0F354BAD" w:rsidR="00452467" w:rsidRPr="00411E3B" w:rsidRDefault="00452467" w:rsidP="00411E3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УМОВИ ПРОВЕДЕННЯ КОНКУРСУ </w:t>
      </w:r>
    </w:p>
    <w:p w14:paraId="42119417" w14:textId="77777777" w:rsidR="00452467" w:rsidRPr="00C069F9" w:rsidRDefault="00452467" w:rsidP="00452467">
      <w:pPr>
        <w:spacing w:after="0" w:line="240" w:lineRule="auto"/>
        <w:jc w:val="both"/>
        <w:rPr>
          <w:rFonts w:asciiTheme="majorHAnsi" w:hAnsiTheme="majorHAnsi"/>
          <w:b/>
          <w:bCs/>
          <w:highlight w:val="yellow"/>
          <w:lang w:val="uk-UA"/>
        </w:rPr>
      </w:pPr>
    </w:p>
    <w:p w14:paraId="1BED52AC" w14:textId="75EBDD63" w:rsidR="00452467" w:rsidRPr="00411E3B" w:rsidRDefault="00411E3B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E54D0" w:rsidRPr="00411E3B">
        <w:rPr>
          <w:rFonts w:ascii="Times New Roman" w:hAnsi="Times New Roman" w:cs="Times New Roman"/>
          <w:sz w:val="24"/>
          <w:szCs w:val="24"/>
          <w:lang w:val="uk-UA"/>
        </w:rPr>
        <w:t>омпанія</w:t>
      </w:r>
      <w:r w:rsidR="00A9327F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467" w:rsidRPr="00411E3B">
        <w:rPr>
          <w:rFonts w:ascii="Times New Roman" w:hAnsi="Times New Roman" w:cs="Times New Roman"/>
          <w:sz w:val="24"/>
          <w:szCs w:val="24"/>
          <w:lang w:val="uk-UA"/>
        </w:rPr>
        <w:t>проводить конкурс з відбору суб’єктів аудиторської діяльності, які можуть бути призначені для надання послуг з обов’язкового аудиту його фінансової звітності та відповідають вимогам, встановленим законодавством, та критеріям відбору, визначеним цим Порядком та/або інформаційним оголошенням.</w:t>
      </w:r>
    </w:p>
    <w:p w14:paraId="449EECBA" w14:textId="77777777" w:rsidR="00452467" w:rsidRPr="00266D6C" w:rsidRDefault="00452467" w:rsidP="00452467">
      <w:pPr>
        <w:spacing w:after="0" w:line="240" w:lineRule="auto"/>
        <w:jc w:val="both"/>
        <w:rPr>
          <w:rFonts w:asciiTheme="majorHAnsi" w:hAnsiTheme="majorHAnsi"/>
          <w:b/>
          <w:bCs/>
          <w:lang w:val="uk-UA"/>
        </w:rPr>
      </w:pPr>
    </w:p>
    <w:p w14:paraId="112655C5" w14:textId="5F6A70ED" w:rsidR="003A70B5" w:rsidRPr="009E4D2D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D6C">
        <w:rPr>
          <w:rFonts w:ascii="Times New Roman" w:hAnsi="Times New Roman" w:cs="Times New Roman"/>
          <w:sz w:val="24"/>
          <w:szCs w:val="24"/>
          <w:lang w:val="uk-UA"/>
        </w:rPr>
        <w:t>Відповідальним за проведення конкурсу та підготовку обґрунтованих рекомендацій за його</w:t>
      </w:r>
      <w:r w:rsidR="00452467" w:rsidRPr="00266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6D6C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результатами є </w:t>
      </w:r>
      <w:r w:rsidR="00266D6C" w:rsidRPr="00266D6C">
        <w:rPr>
          <w:rFonts w:ascii="Times New Roman" w:hAnsi="Times New Roman" w:cs="Times New Roman"/>
          <w:sz w:val="24"/>
          <w:szCs w:val="24"/>
          <w:lang w:val="uk-UA"/>
        </w:rPr>
        <w:t xml:space="preserve">Наглядова </w:t>
      </w:r>
      <w:r w:rsidR="0097724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66D6C" w:rsidRPr="00266D6C">
        <w:rPr>
          <w:rFonts w:ascii="Times New Roman" w:hAnsi="Times New Roman" w:cs="Times New Roman"/>
          <w:sz w:val="24"/>
          <w:szCs w:val="24"/>
          <w:lang w:val="uk-UA"/>
        </w:rPr>
        <w:t xml:space="preserve">ада </w:t>
      </w:r>
      <w:r w:rsidRPr="009E4D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E3EE26" w14:textId="77777777" w:rsidR="00452467" w:rsidRPr="00C069F9" w:rsidRDefault="00452467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0EE1A4FB" w14:textId="6DA0ED5D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Конкурс може бути проведено в один або декілька етапів. Умови та кількість етапів конкурсу мають визначатися в інформаційному оголошенні.</w:t>
      </w:r>
    </w:p>
    <w:p w14:paraId="2ABBF2F3" w14:textId="77777777" w:rsidR="00452467" w:rsidRPr="00411E3B" w:rsidRDefault="00452467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7F7996" w14:textId="20582AF0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подаються претендентами особисто </w:t>
      </w:r>
      <w:r w:rsidR="00452467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засобами електронного зв’язку зазначеного в оголошенні. 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B155FC" w14:textId="77777777" w:rsidR="00A9327F" w:rsidRPr="00411E3B" w:rsidRDefault="00A9327F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06DA4F" w14:textId="5CF567F2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1" w:name="_Hlk179308402"/>
      <w:r w:rsidRPr="00411E3B">
        <w:rPr>
          <w:rFonts w:ascii="Times New Roman" w:hAnsi="Times New Roman" w:cs="Times New Roman"/>
          <w:sz w:val="24"/>
          <w:szCs w:val="24"/>
          <w:lang w:val="uk-UA"/>
        </w:rPr>
        <w:t>Всі документи подаються у електронному вигляді. Скановані копії документів, що подаються у складі пропозиції повинні бути завірені кваліфікованим електронним підписом уповноваженої особи суб’єкта аудиторської діяльності.</w:t>
      </w:r>
    </w:p>
    <w:bookmarkEnd w:id="11"/>
    <w:p w14:paraId="209635A5" w14:textId="77777777" w:rsidR="00452467" w:rsidRPr="00411E3B" w:rsidRDefault="00452467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F1C445" w14:textId="329B926F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подаються в строки, зазначені у інформаційному оголошенні. </w:t>
      </w:r>
    </w:p>
    <w:p w14:paraId="0EEAEE67" w14:textId="77777777" w:rsidR="00452467" w:rsidRPr="00411E3B" w:rsidRDefault="00452467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034E0E" w14:textId="45DCFB68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Пропозиції, отримані після закінчення строку їх подання, не розглядаються. </w:t>
      </w:r>
    </w:p>
    <w:p w14:paraId="19A1DA79" w14:textId="77777777" w:rsidR="00452467" w:rsidRPr="00411E3B" w:rsidRDefault="00452467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31E661" w14:textId="009830AA" w:rsidR="003A70B5" w:rsidRPr="00411E3B" w:rsidRDefault="00452467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>Учасник конкурсу</w:t>
      </w:r>
      <w:r w:rsidR="003A70B5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має право </w:t>
      </w:r>
      <w:proofErr w:type="spellStart"/>
      <w:r w:rsidR="003A70B5" w:rsidRPr="00411E3B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3A70B5"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зміни або відкликати свою пропозицію до закінчення строку її подання. </w:t>
      </w:r>
    </w:p>
    <w:p w14:paraId="099FD4F6" w14:textId="77777777" w:rsidR="00452467" w:rsidRPr="00411E3B" w:rsidRDefault="00452467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2708F" w14:textId="23EFC19A" w:rsidR="003A70B5" w:rsidRPr="00411E3B" w:rsidRDefault="003A70B5" w:rsidP="00411E3B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Кожен </w:t>
      </w:r>
      <w:r w:rsidR="00452467" w:rsidRPr="00411E3B">
        <w:rPr>
          <w:rFonts w:ascii="Times New Roman" w:hAnsi="Times New Roman" w:cs="Times New Roman"/>
          <w:sz w:val="24"/>
          <w:szCs w:val="24"/>
          <w:lang w:val="uk-UA"/>
        </w:rPr>
        <w:t>учасник конкурсу</w:t>
      </w:r>
      <w:r w:rsidRPr="00411E3B">
        <w:rPr>
          <w:rFonts w:ascii="Times New Roman" w:hAnsi="Times New Roman" w:cs="Times New Roman"/>
          <w:sz w:val="24"/>
          <w:szCs w:val="24"/>
          <w:lang w:val="uk-UA"/>
        </w:rPr>
        <w:t xml:space="preserve"> має право подати тільки одну фінальну пропозицію, яка не може бути змінена після закінчення строку подання пропозицій. </w:t>
      </w:r>
    </w:p>
    <w:p w14:paraId="4AA3A091" w14:textId="77777777" w:rsidR="00452467" w:rsidRPr="00C069F9" w:rsidRDefault="00452467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6E62DB31" w14:textId="3CA2C52B" w:rsidR="003A70B5" w:rsidRPr="009307E3" w:rsidRDefault="003A70B5" w:rsidP="009307E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Документи, що подаються суб’єктом аудиторської діяльності для участі в </w:t>
      </w:r>
      <w:r w:rsidR="00452467" w:rsidRPr="009307E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онкурсі, мають бути викладені українською мовою і засвідчені кваліфікованим електронним 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підписом </w:t>
      </w:r>
      <w:r w:rsidR="00452467" w:rsidRPr="009307E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>повноваженої особи суб’єкта аудиторської діяльності. Додатково, лист з ціновою</w:t>
      </w:r>
      <w:r w:rsidR="00452467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пропозицією подається англійською мовою. </w:t>
      </w:r>
    </w:p>
    <w:p w14:paraId="5F638731" w14:textId="77777777" w:rsidR="00452467" w:rsidRPr="00C069F9" w:rsidRDefault="00452467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617FDF0F" w14:textId="1039B189" w:rsidR="003A70B5" w:rsidRPr="009307E3" w:rsidRDefault="003A70B5" w:rsidP="009307E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07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ПІДГОТОВКА ДО ПРОВЕДЕННЯ </w:t>
      </w:r>
      <w:r w:rsidR="009307E3" w:rsidRPr="009307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ПОРЯДОК ПРОВЕДЕННЯ </w:t>
      </w:r>
      <w:r w:rsidRPr="009307E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КОНКУРСУ</w:t>
      </w:r>
    </w:p>
    <w:p w14:paraId="512374D8" w14:textId="77777777" w:rsidR="00452467" w:rsidRPr="00C069F9" w:rsidRDefault="00452467" w:rsidP="003A70B5">
      <w:pPr>
        <w:spacing w:after="0" w:line="240" w:lineRule="auto"/>
        <w:jc w:val="both"/>
        <w:rPr>
          <w:rFonts w:asciiTheme="majorHAnsi" w:hAnsiTheme="majorHAnsi"/>
          <w:b/>
          <w:bCs/>
          <w:highlight w:val="yellow"/>
          <w:lang w:val="ru-RU"/>
        </w:rPr>
      </w:pPr>
    </w:p>
    <w:p w14:paraId="019D30D3" w14:textId="550CC206" w:rsidR="003A70B5" w:rsidRPr="009307E3" w:rsidRDefault="003A70B5" w:rsidP="009307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Рішення про проведення конкурсу приймає Наглядова рада.</w:t>
      </w:r>
    </w:p>
    <w:p w14:paraId="702C0207" w14:textId="77777777" w:rsidR="00452467" w:rsidRPr="00C069F9" w:rsidRDefault="00452467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ru-RU"/>
        </w:rPr>
      </w:pPr>
    </w:p>
    <w:p w14:paraId="6019BE5C" w14:textId="24B414DE" w:rsidR="003A70B5" w:rsidRPr="009E4D2D" w:rsidRDefault="00266D6C" w:rsidP="009307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24C">
        <w:rPr>
          <w:rFonts w:ascii="Times New Roman" w:hAnsi="Times New Roman" w:cs="Times New Roman"/>
          <w:sz w:val="24"/>
          <w:szCs w:val="24"/>
          <w:lang w:val="uk-UA"/>
        </w:rPr>
        <w:t xml:space="preserve"> Наглядова рад</w:t>
      </w:r>
      <w:r w:rsidR="0097724C" w:rsidRPr="0097724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772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97724C">
        <w:rPr>
          <w:rFonts w:ascii="Times New Roman" w:hAnsi="Times New Roman" w:cs="Times New Roman"/>
          <w:sz w:val="24"/>
          <w:szCs w:val="24"/>
          <w:lang w:val="uk-UA"/>
        </w:rPr>
        <w:t xml:space="preserve"> розробляє та </w:t>
      </w:r>
      <w:r w:rsidRPr="0097724C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затверджує </w:t>
      </w:r>
      <w:r w:rsidR="00452467" w:rsidRPr="009E4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97724C">
        <w:rPr>
          <w:rFonts w:ascii="Times New Roman" w:hAnsi="Times New Roman" w:cs="Times New Roman"/>
          <w:sz w:val="24"/>
          <w:szCs w:val="24"/>
          <w:lang w:val="uk-UA"/>
        </w:rPr>
        <w:t>інформаційне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оголошення, конкурсну документацію, які містять порядок проведення конкурсу і прозорі та недискримінаційні критерії відбору суб</w:t>
      </w:r>
      <w:r w:rsidR="009307E3" w:rsidRPr="009E4D2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>єктів аудиторської діяльності для надання послуг з обов</w:t>
      </w:r>
      <w:r w:rsidR="009307E3" w:rsidRPr="009E4D2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>язкового аудиту фінансової звітності.</w:t>
      </w:r>
    </w:p>
    <w:p w14:paraId="324DBEC0" w14:textId="77777777" w:rsidR="00452467" w:rsidRPr="009E4D2D" w:rsidRDefault="00452467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3303DC" w14:textId="07C13243" w:rsidR="003A70B5" w:rsidRPr="009307E3" w:rsidRDefault="003A70B5" w:rsidP="009307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Наглядова рада затверджує інформаційне оголошення та конкурсну документацію.</w:t>
      </w:r>
      <w:r w:rsidR="00A84CAB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>Інформаційне оголошення про проведення конкурсу має містити, зокрема:</w:t>
      </w:r>
    </w:p>
    <w:p w14:paraId="0327CFE4" w14:textId="65F83292" w:rsidR="003A70B5" w:rsidRPr="009307E3" w:rsidRDefault="00A84CAB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відомості про аудиторські послуги, обсяг послуг 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>завдання з обов’язкового аудиту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та інших завдань,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об’єкт з аудиторської перевірки;</w:t>
      </w:r>
    </w:p>
    <w:p w14:paraId="3C2DF148" w14:textId="03FE1EC2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спосіб та кінцевий строк (дата) подання пропозицій з підтверджуючими</w:t>
      </w:r>
      <w:r w:rsidR="00A84CAB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документами; </w:t>
      </w:r>
    </w:p>
    <w:p w14:paraId="498E3318" w14:textId="6B927B89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кількість етапів конкурсу;</w:t>
      </w:r>
    </w:p>
    <w:p w14:paraId="2999DD07" w14:textId="7DB8F403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критерії відбору суб’єктів аудиторської діяльності;</w:t>
      </w:r>
    </w:p>
    <w:p w14:paraId="0EC12E56" w14:textId="3B760349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строк надання послуг у календарних днях (у разі потреби);</w:t>
      </w:r>
    </w:p>
    <w:p w14:paraId="241B5616" w14:textId="48A6E00C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веб-сайт </w:t>
      </w:r>
      <w:r w:rsidR="009307E3" w:rsidRPr="009307E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9307E3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>, на якому розміщено конкурсну документацію;</w:t>
      </w:r>
    </w:p>
    <w:p w14:paraId="47C2505A" w14:textId="4ABBFDCD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порядок подання пропозицій </w:t>
      </w:r>
      <w:r w:rsidR="00A84CAB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учасниками конкурсу 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9155AE" w14:textId="189981C0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контактні дані уповноваженої особи </w:t>
      </w:r>
      <w:r w:rsidR="009307E3" w:rsidRPr="009307E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9307E3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4645" w:rsidRPr="009307E3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проведення конкурсу;</w:t>
      </w:r>
    </w:p>
    <w:p w14:paraId="5690A48A" w14:textId="7116ED09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інформація та документи, які надаються претендентами для участі у конкурсі;</w:t>
      </w:r>
    </w:p>
    <w:p w14:paraId="0605220B" w14:textId="20B7480B" w:rsidR="003A70B5" w:rsidRPr="009307E3" w:rsidRDefault="003A70B5" w:rsidP="009307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іншу інформацію, необхідну для проведення конкурсу (у разі потреби).</w:t>
      </w:r>
    </w:p>
    <w:p w14:paraId="4C6C24A8" w14:textId="77777777" w:rsidR="00A84645" w:rsidRPr="00C069F9" w:rsidRDefault="00A84645" w:rsidP="00A84645">
      <w:pPr>
        <w:pStyle w:val="ListParagraph"/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2B75089E" w14:textId="06BCC705" w:rsidR="00A84645" w:rsidRPr="009307E3" w:rsidRDefault="009307E3" w:rsidP="009307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нформаційне оголошення про проведення конкурсу оприлюднюється на веб-сайті 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9307E3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="00A84645" w:rsidRPr="009307E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37A35D" w14:textId="77777777" w:rsidR="009307E3" w:rsidRPr="00C069F9" w:rsidRDefault="009307E3" w:rsidP="00A8464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22F61FB6" w14:textId="72DDCAC6" w:rsidR="003A70B5" w:rsidRPr="009307E3" w:rsidRDefault="003A70B5" w:rsidP="009307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Для участі у конкурсі суб’єкти аудиторської діяльності у строки, зазначені в інформаційному </w:t>
      </w:r>
      <w:r w:rsidR="00A84645" w:rsidRPr="009307E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>голошенні подають пропозицію, що складається з наступних документів, зокрема:</w:t>
      </w:r>
    </w:p>
    <w:p w14:paraId="572B3FE4" w14:textId="5CD04CC8" w:rsidR="003A70B5" w:rsidRPr="009307E3" w:rsidRDefault="003A70B5" w:rsidP="009307E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всі документи, перелік яких встановлений у інформаційному оголошенні</w:t>
      </w:r>
      <w:r w:rsidR="00F3260B" w:rsidRPr="009307E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EFFBB79" w14:textId="1B5A6A51" w:rsidR="003A70B5" w:rsidRPr="009307E3" w:rsidRDefault="00F3260B" w:rsidP="009307E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>інов</w:t>
      </w:r>
      <w:r w:rsidR="00F0637D" w:rsidRPr="009307E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</w:t>
      </w:r>
      <w:r w:rsidR="00F0637D" w:rsidRPr="009307E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ПДВ та всіх супутніх витрат, умови оплати (у тому числі інформацію щодо необхідності 100% авансування, можливості часткової оплати до та після надання послуг, залежність вартості від курсових коливань), розрахунок вартості послуг, 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дати 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>надання аудиторських послуг</w:t>
      </w:r>
      <w:r w:rsidR="009307E3" w:rsidRPr="009307E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C7C1A9" w14:textId="500CC9CE" w:rsidR="003A70B5" w:rsidRPr="009307E3" w:rsidRDefault="00F3260B" w:rsidP="009307E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>исьмові запевнення, що суб’єкт аудиторської діяльності:</w:t>
      </w:r>
    </w:p>
    <w:p w14:paraId="2C003244" w14:textId="6BB94A1A" w:rsidR="003A70B5" w:rsidRPr="009307E3" w:rsidRDefault="003A70B5" w:rsidP="00F3260B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відповідає вимогам, встановленим Законом про аудит до суб’єктів аудиторської діяльності, які можуть надавати послуги з обов’язкового аудиту фінансової звітності підприємств, що становлять суспільний інтерес;</w:t>
      </w:r>
    </w:p>
    <w:p w14:paraId="619AA15E" w14:textId="412FDFA3" w:rsidR="003A70B5" w:rsidRPr="009307E3" w:rsidRDefault="003A70B5" w:rsidP="009307E3">
      <w:pPr>
        <w:pStyle w:val="ListParagraph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відповідає критеріям відбору суб’єктів аудиторської діяльності, визначеними ци</w:t>
      </w:r>
      <w:r w:rsidR="00F3260B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>Порядком та/або інформаційним оголошенням</w:t>
      </w:r>
      <w:r w:rsidR="009307E3" w:rsidRPr="009307E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9845C23" w14:textId="26919399" w:rsidR="003A70B5" w:rsidRPr="009307E3" w:rsidRDefault="003A70B5" w:rsidP="009307E3">
      <w:pPr>
        <w:pStyle w:val="ListParagraph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інш</w:t>
      </w:r>
      <w:r w:rsidR="00F0637D" w:rsidRPr="009307E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інформація/документи, що може бути суттєві та корисні та/або яка визначається інформаційним оголошенням.</w:t>
      </w:r>
    </w:p>
    <w:p w14:paraId="0E3DC419" w14:textId="77777777" w:rsidR="00F3260B" w:rsidRPr="009307E3" w:rsidRDefault="00F3260B" w:rsidP="00F326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975842" w14:textId="51BE6958" w:rsidR="003A70B5" w:rsidRPr="009307E3" w:rsidRDefault="003A70B5" w:rsidP="009307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Після отримання пропозицій від претендентів, у разі необхідності членами </w:t>
      </w:r>
      <w:r w:rsidR="006E1091">
        <w:rPr>
          <w:rFonts w:ascii="Times New Roman" w:hAnsi="Times New Roman" w:cs="Times New Roman"/>
          <w:sz w:val="24"/>
          <w:szCs w:val="24"/>
          <w:lang w:val="uk-UA"/>
        </w:rPr>
        <w:t xml:space="preserve">Наглядової ради </w:t>
      </w:r>
      <w:r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 можуть</w:t>
      </w:r>
      <w:r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бути проведені зустрічі з представниками претендентів з метою уточнення даних пропозицій, щодо ділової репутації суб’єктів аудиторської діяльності, їх кваліфікації, досвіду тощо.</w:t>
      </w:r>
    </w:p>
    <w:p w14:paraId="46195D0E" w14:textId="77777777" w:rsidR="00F3260B" w:rsidRPr="00C069F9" w:rsidRDefault="00F3260B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750A6BCA" w14:textId="4D8EC004" w:rsidR="003A70B5" w:rsidRPr="009307E3" w:rsidRDefault="009307E3" w:rsidP="009307E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7E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E54D0" w:rsidRPr="009307E3">
        <w:rPr>
          <w:rFonts w:ascii="Times New Roman" w:hAnsi="Times New Roman" w:cs="Times New Roman"/>
          <w:sz w:val="24"/>
          <w:szCs w:val="24"/>
          <w:lang w:val="uk-UA"/>
        </w:rPr>
        <w:t>омпанія</w:t>
      </w:r>
      <w:r w:rsidR="00FF0CE2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60B" w:rsidRPr="009307E3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FF0CE2" w:rsidRPr="009307E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F3260B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право вимагати від суб’єктів аудиторської діяльності подання </w:t>
      </w:r>
      <w:r w:rsidR="00F3260B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t>додаткової інформації та/або документів, необхідних для уточнення відомостей про суб’єкта</w:t>
      </w:r>
      <w:r w:rsidR="00F3260B" w:rsidRPr="00930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0B5" w:rsidRPr="009307E3">
        <w:rPr>
          <w:rFonts w:ascii="Times New Roman" w:hAnsi="Times New Roman" w:cs="Times New Roman"/>
          <w:sz w:val="24"/>
          <w:szCs w:val="24"/>
          <w:lang w:val="uk-UA"/>
        </w:rPr>
        <w:lastRenderedPageBreak/>
        <w:t>аудиторської діяльності</w:t>
      </w:r>
      <w:r w:rsidR="00654D49" w:rsidRPr="009307E3">
        <w:rPr>
          <w:rFonts w:ascii="Times New Roman" w:hAnsi="Times New Roman" w:cs="Times New Roman"/>
          <w:sz w:val="24"/>
          <w:szCs w:val="24"/>
          <w:lang w:val="uk-UA"/>
        </w:rPr>
        <w:t>, в тому числі шляхом онлайн спілкування з уповноваженими особами суб’єктів аудиторської діяльності, які надали свої конкурсні пропозиції.</w:t>
      </w:r>
    </w:p>
    <w:p w14:paraId="7351D0CB" w14:textId="77777777" w:rsidR="00F3260B" w:rsidRPr="00C069F9" w:rsidRDefault="00F3260B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4F3857D4" w14:textId="13646D09" w:rsidR="003A70B5" w:rsidRPr="00C43883" w:rsidRDefault="003A70B5" w:rsidP="00C4388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Після отримання пропозицій від суб’єктів аудиторської діяльності протягом не більше ніж </w:t>
      </w:r>
      <w:r w:rsidR="0010385D" w:rsidRPr="00C43883">
        <w:rPr>
          <w:rFonts w:ascii="Times New Roman" w:hAnsi="Times New Roman" w:cs="Times New Roman"/>
          <w:sz w:val="24"/>
          <w:szCs w:val="24"/>
          <w:lang w:val="uk-UA"/>
        </w:rPr>
        <w:t>10 робочих</w:t>
      </w:r>
      <w:r w:rsidR="00F3260B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днів після дати закінчення кінцевого строку подання пропозицій</w:t>
      </w:r>
      <w:r w:rsidR="00F3260B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883" w:rsidRPr="00C4388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9327F" w:rsidRPr="00C43883">
        <w:rPr>
          <w:rFonts w:ascii="Times New Roman" w:hAnsi="Times New Roman" w:cs="Times New Roman"/>
          <w:sz w:val="24"/>
          <w:szCs w:val="24"/>
          <w:lang w:val="uk-UA"/>
        </w:rPr>
        <w:t>омпанією</w:t>
      </w:r>
      <w:r w:rsidR="00F3260B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перевірка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85427FE" w14:textId="6C5FAAD4" w:rsidR="003A70B5" w:rsidRPr="006E1091" w:rsidRDefault="003A70B5" w:rsidP="00C438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наявності всіх необхідних документів, повноти наданої інформації, проводиться порівняльний аналіз отриманих пропозицій та їх попередня оцінка, відповідність претендентів вимогами умов конкурсу для надання відповідної інформації до </w:t>
      </w:r>
      <w:r w:rsidR="006E1091">
        <w:rPr>
          <w:rFonts w:ascii="Times New Roman" w:hAnsi="Times New Roman" w:cs="Times New Roman"/>
          <w:sz w:val="24"/>
          <w:szCs w:val="24"/>
          <w:lang w:val="uk-UA"/>
        </w:rPr>
        <w:t xml:space="preserve">Наглядової </w:t>
      </w:r>
      <w:r w:rsidR="006E1091"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Pr="009E4D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4534018" w14:textId="57FEE4C7" w:rsidR="003A70B5" w:rsidRPr="00C43883" w:rsidRDefault="003A70B5" w:rsidP="00C4388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наявності або ризику виникнення конфлікту інтересів, </w:t>
      </w:r>
      <w:proofErr w:type="spellStart"/>
      <w:r w:rsidRPr="00C43883">
        <w:rPr>
          <w:rFonts w:ascii="Times New Roman" w:hAnsi="Times New Roman" w:cs="Times New Roman"/>
          <w:sz w:val="24"/>
          <w:szCs w:val="24"/>
          <w:lang w:val="uk-UA"/>
        </w:rPr>
        <w:t>афілійованість</w:t>
      </w:r>
      <w:proofErr w:type="spellEnd"/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, щодо дотримання вимог законодавства </w:t>
      </w:r>
      <w:proofErr w:type="spellStart"/>
      <w:r w:rsidRPr="00C43883">
        <w:rPr>
          <w:rFonts w:ascii="Times New Roman" w:hAnsi="Times New Roman" w:cs="Times New Roman"/>
          <w:sz w:val="24"/>
          <w:szCs w:val="24"/>
          <w:lang w:val="uk-UA"/>
        </w:rPr>
        <w:t>санкційного</w:t>
      </w:r>
      <w:proofErr w:type="spellEnd"/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 тощо</w:t>
      </w:r>
      <w:r w:rsidR="00F3260B" w:rsidRPr="00C438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CEAA76" w14:textId="77777777" w:rsidR="003A70B5" w:rsidRPr="00C43883" w:rsidRDefault="003A70B5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2B6E7797" w14:textId="2705386E" w:rsidR="003A70B5" w:rsidRPr="006E1091" w:rsidRDefault="003A70B5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перевірок </w:t>
      </w:r>
      <w:r w:rsidR="006E1091"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розглядаються </w:t>
      </w:r>
      <w:r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091"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Наглядової ради. </w:t>
      </w:r>
    </w:p>
    <w:p w14:paraId="32C52A32" w14:textId="77777777" w:rsidR="00F3260B" w:rsidRPr="006E1091" w:rsidRDefault="00F3260B" w:rsidP="003A70B5">
      <w:pPr>
        <w:spacing w:after="0" w:line="240" w:lineRule="auto"/>
        <w:jc w:val="both"/>
        <w:rPr>
          <w:rFonts w:asciiTheme="majorHAnsi" w:hAnsiTheme="majorHAnsi"/>
          <w:lang w:val="uk-UA"/>
        </w:rPr>
      </w:pPr>
    </w:p>
    <w:p w14:paraId="29675A3D" w14:textId="0DE90C9B" w:rsidR="003A70B5" w:rsidRPr="006E1091" w:rsidRDefault="006E1091" w:rsidP="00C4388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Наглядова рада </w:t>
      </w:r>
      <w:r w:rsidR="003A70B5" w:rsidRPr="006E1091">
        <w:rPr>
          <w:rFonts w:ascii="Times New Roman" w:hAnsi="Times New Roman" w:cs="Times New Roman"/>
          <w:sz w:val="24"/>
          <w:szCs w:val="24"/>
          <w:lang w:val="uk-UA"/>
        </w:rPr>
        <w:t>оцінює конкурсні пропозиції, подані претендентами, за визначеними цим Порядком та/або інформаційним оголошенням критеріями відбору.</w:t>
      </w:r>
    </w:p>
    <w:p w14:paraId="12DFFADC" w14:textId="77777777" w:rsidR="00F3260B" w:rsidRPr="00C43883" w:rsidRDefault="00F3260B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E24644" w14:textId="56793DC2" w:rsidR="003A70B5" w:rsidRPr="006E1091" w:rsidRDefault="006E1091" w:rsidP="00C4388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Наглядова рада </w:t>
      </w:r>
      <w:r w:rsidR="003A70B5"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складає звіт про висновки процедури відбору. До уваги беруться результати контролю якості послуг (оцінку якісних показників послуг), що надаються </w:t>
      </w:r>
      <w:proofErr w:type="spellStart"/>
      <w:r w:rsidR="003A70B5" w:rsidRPr="006E1091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="00C43883" w:rsidRPr="006E1091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3A70B5" w:rsidRPr="006E1091">
        <w:rPr>
          <w:rFonts w:ascii="Times New Roman" w:hAnsi="Times New Roman" w:cs="Times New Roman"/>
          <w:sz w:val="24"/>
          <w:szCs w:val="24"/>
          <w:lang w:val="uk-UA"/>
        </w:rPr>
        <w:t>єктами</w:t>
      </w:r>
      <w:proofErr w:type="spellEnd"/>
      <w:r w:rsidR="003A70B5" w:rsidRPr="006E1091">
        <w:rPr>
          <w:rFonts w:ascii="Times New Roman" w:hAnsi="Times New Roman" w:cs="Times New Roman"/>
          <w:sz w:val="24"/>
          <w:szCs w:val="24"/>
          <w:lang w:val="uk-UA"/>
        </w:rPr>
        <w:t xml:space="preserve"> аудиторської діяльності, які беруть участь у конкурсі.</w:t>
      </w:r>
    </w:p>
    <w:p w14:paraId="4A99AF3D" w14:textId="77777777" w:rsidR="00F3260B" w:rsidRPr="00C069F9" w:rsidRDefault="00F3260B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1D1E99B5" w14:textId="16832E7B" w:rsidR="003A70B5" w:rsidRPr="00C43883" w:rsidRDefault="003A70B5" w:rsidP="00C4388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За результатами конкурсу</w:t>
      </w:r>
      <w:r w:rsidR="006E1091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отриманих </w:t>
      </w:r>
      <w:proofErr w:type="spellStart"/>
      <w:r w:rsidR="006E1091">
        <w:rPr>
          <w:rFonts w:ascii="Times New Roman" w:hAnsi="Times New Roman" w:cs="Times New Roman"/>
          <w:sz w:val="24"/>
          <w:szCs w:val="24"/>
          <w:lang w:val="uk-UA"/>
        </w:rPr>
        <w:t>обгрунтованих</w:t>
      </w:r>
      <w:proofErr w:type="spellEnd"/>
      <w:r w:rsidR="006E1091"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рекомендації, Наглядова рада </w:t>
      </w:r>
      <w:r w:rsidR="0097724C">
        <w:rPr>
          <w:rFonts w:ascii="Times New Roman" w:hAnsi="Times New Roman" w:cs="Times New Roman"/>
          <w:sz w:val="24"/>
          <w:szCs w:val="24"/>
          <w:lang w:val="uk-UA"/>
        </w:rPr>
        <w:t xml:space="preserve">відбирає 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суб</w:t>
      </w:r>
      <w:r w:rsidR="00C43883" w:rsidRPr="00C4388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єкта (суб</w:t>
      </w:r>
      <w:r w:rsidR="00C43883" w:rsidRPr="00C4388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єктів) аудиторської діяльності для надання послуг з обов</w:t>
      </w:r>
      <w:r w:rsidR="00C43883" w:rsidRPr="00C4388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язкового аудиту фінансової звітності, які мають включати щонайменше дві пропозиції щодо відбору суб’єкта (суб</w:t>
      </w:r>
      <w:r w:rsidR="00C43883" w:rsidRPr="00C4388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єктів) аудиторської діяльності для проведення обов</w:t>
      </w:r>
      <w:r w:rsidR="00C43883" w:rsidRPr="00C4388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язкового аудиту фінансової звітності.</w:t>
      </w:r>
    </w:p>
    <w:p w14:paraId="478DD828" w14:textId="77777777" w:rsidR="00F3260B" w:rsidRPr="00C069F9" w:rsidRDefault="00F3260B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7EDA3116" w14:textId="2FB35196" w:rsidR="003A70B5" w:rsidRPr="00C43883" w:rsidRDefault="003A70B5" w:rsidP="00C4388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При прийнятті рішення щодо відбору суб’єкта аудиторської діяльності для надання послуг з обов’язкового аудиту Наглядовою радою </w:t>
      </w:r>
      <w:r w:rsidR="00C43883" w:rsidRPr="00C4388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C43883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="00F3260B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враховуються наступні критерії:</w:t>
      </w:r>
    </w:p>
    <w:p w14:paraId="139A0B09" w14:textId="4B5C53A4" w:rsidR="003A70B5" w:rsidRPr="00C43883" w:rsidRDefault="00C43883" w:rsidP="00C438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3A70B5" w:rsidRPr="00C43883">
        <w:rPr>
          <w:rFonts w:ascii="Times New Roman" w:hAnsi="Times New Roman" w:cs="Times New Roman"/>
          <w:sz w:val="24"/>
          <w:szCs w:val="24"/>
          <w:lang w:val="uk-UA"/>
        </w:rPr>
        <w:t>інова пропозиція суб’єкта аудиторської діяльності;</w:t>
      </w:r>
    </w:p>
    <w:p w14:paraId="581AF35B" w14:textId="3CDE5495" w:rsidR="0010385D" w:rsidRPr="00C43883" w:rsidRDefault="00C43883" w:rsidP="00C438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A70B5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ілова репутація суб’єкта аудиторської діяльності, </w:t>
      </w:r>
    </w:p>
    <w:p w14:paraId="17A61D6E" w14:textId="2A190A70" w:rsidR="003A70B5" w:rsidRPr="00C43883" w:rsidRDefault="00C43883" w:rsidP="00C438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A70B5" w:rsidRPr="00C43883">
        <w:rPr>
          <w:rFonts w:ascii="Times New Roman" w:hAnsi="Times New Roman" w:cs="Times New Roman"/>
          <w:sz w:val="24"/>
          <w:szCs w:val="24"/>
          <w:lang w:val="uk-UA"/>
        </w:rPr>
        <w:t>рофесійний досвід</w:t>
      </w:r>
      <w:r w:rsidR="0010385D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команди з аудиту;</w:t>
      </w:r>
      <w:r w:rsidR="003A70B5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4A670A" w14:textId="0C5CEBB3" w:rsidR="003A70B5" w:rsidRPr="00C43883" w:rsidRDefault="00C43883" w:rsidP="00C438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A70B5" w:rsidRPr="00C43883">
        <w:rPr>
          <w:rFonts w:ascii="Times New Roman" w:hAnsi="Times New Roman" w:cs="Times New Roman"/>
          <w:sz w:val="24"/>
          <w:szCs w:val="24"/>
          <w:lang w:val="uk-UA"/>
        </w:rPr>
        <w:t>ідсутність негативних факторів/інформації, достатність ресурсів для дотримання графіку надання аудиторських послуг тощо;</w:t>
      </w:r>
    </w:p>
    <w:p w14:paraId="29F1825A" w14:textId="7CBD3EEE" w:rsidR="003A70B5" w:rsidRPr="00C43883" w:rsidRDefault="00C43883" w:rsidP="00C4388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A70B5" w:rsidRPr="00C43883">
        <w:rPr>
          <w:rFonts w:ascii="Times New Roman" w:hAnsi="Times New Roman" w:cs="Times New Roman"/>
          <w:sz w:val="24"/>
          <w:szCs w:val="24"/>
          <w:lang w:val="uk-UA"/>
        </w:rPr>
        <w:t>нші критерії відбору відповідно до чинного законодавства України та/або інформаційного оголошення (у разі встановлення).</w:t>
      </w:r>
    </w:p>
    <w:p w14:paraId="7D63221D" w14:textId="77777777" w:rsidR="0010385D" w:rsidRPr="00C43883" w:rsidRDefault="0010385D" w:rsidP="001038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6F07B5" w14:textId="4C1B59EE" w:rsidR="003A70B5" w:rsidRPr="00C43883" w:rsidRDefault="003A70B5" w:rsidP="00C4388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Рішення про визначення (обрання) суб’єкта аудиторської діяльності для проведення обов’язкового аудиту фінансової звітності приймається на засіданні Наглядової ради.</w:t>
      </w:r>
    </w:p>
    <w:p w14:paraId="551842B7" w14:textId="77777777" w:rsidR="0010385D" w:rsidRPr="00C069F9" w:rsidRDefault="0010385D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2C79326E" w14:textId="1D823FA6" w:rsidR="003A70B5" w:rsidRPr="00C43883" w:rsidRDefault="003A70B5" w:rsidP="00C4388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Оприлюднення на веб-сайті повідомлення про результати конкурсу відбувається протягом 10 робочих днів з дати прийняття Наглядовою радою рішення про визначення (обрання) суб’єкта аудиторської діяльності.</w:t>
      </w:r>
      <w:r w:rsidR="0010385D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4A3493" w14:textId="77777777" w:rsidR="0010385D" w:rsidRPr="00C43883" w:rsidRDefault="0010385D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2EAFA7" w14:textId="4FE83440" w:rsidR="003A70B5" w:rsidRPr="00C43883" w:rsidRDefault="003A70B5" w:rsidP="00C4388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У випадку проведення конкурсу у декілька етапів, після виконання дій</w:t>
      </w:r>
      <w:r w:rsidR="0010385D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першого етапу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724C">
        <w:rPr>
          <w:rFonts w:ascii="Times New Roman" w:hAnsi="Times New Roman" w:cs="Times New Roman"/>
          <w:sz w:val="24"/>
          <w:szCs w:val="24"/>
          <w:lang w:val="uk-UA"/>
        </w:rPr>
        <w:t xml:space="preserve">Наглядовою радою </w:t>
      </w:r>
      <w:r w:rsidRPr="0097724C">
        <w:rPr>
          <w:rFonts w:ascii="Times New Roman" w:hAnsi="Times New Roman" w:cs="Times New Roman"/>
          <w:sz w:val="24"/>
          <w:szCs w:val="24"/>
          <w:lang w:val="uk-UA"/>
        </w:rPr>
        <w:t>проводиться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другий етап конкурсу в системі комерційних </w:t>
      </w:r>
      <w:proofErr w:type="spellStart"/>
      <w:r w:rsidRPr="00C4388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шляхом оголошення про проведення другого етапу конкурсу виключно серед учасників конкурсу. Даний етап конкурсу проводиться виключно з метою отримання максимально вигідної цінової пропозиції. </w:t>
      </w:r>
      <w:r w:rsidR="0097724C">
        <w:rPr>
          <w:rFonts w:ascii="Times New Roman" w:hAnsi="Times New Roman" w:cs="Times New Roman"/>
          <w:sz w:val="24"/>
          <w:szCs w:val="24"/>
          <w:lang w:val="uk-UA"/>
        </w:rPr>
        <w:t xml:space="preserve">Наглядова рада 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аналізує оновлені пропозиції, узагальнює результати та складає звіт про висновки процедури відбору та здійснює дії </w:t>
      </w:r>
      <w:r w:rsidR="0010385D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аналогічно діям першого етапу. </w:t>
      </w:r>
    </w:p>
    <w:p w14:paraId="16CCA962" w14:textId="77777777" w:rsidR="0010385D" w:rsidRPr="00C069F9" w:rsidRDefault="0010385D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7F612CEA" w14:textId="2A4E6C01" w:rsidR="003A70B5" w:rsidRPr="00C43883" w:rsidRDefault="003A70B5" w:rsidP="00C43883">
      <w:pPr>
        <w:pStyle w:val="ListParagraph"/>
        <w:numPr>
          <w:ilvl w:val="1"/>
          <w:numId w:val="10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Наглядов</w:t>
      </w:r>
      <w:r w:rsidR="0097724C">
        <w:rPr>
          <w:rFonts w:ascii="Times New Roman" w:hAnsi="Times New Roman" w:cs="Times New Roman"/>
          <w:sz w:val="24"/>
          <w:szCs w:val="24"/>
          <w:lang w:val="uk-UA"/>
        </w:rPr>
        <w:t xml:space="preserve">а рада може 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визнати конкурс таким, що не відбувся, за наявності таких підстав, зокрема:</w:t>
      </w:r>
    </w:p>
    <w:p w14:paraId="6FAB2178" w14:textId="0C4921AC" w:rsidR="003A70B5" w:rsidRPr="00C43883" w:rsidRDefault="003A70B5" w:rsidP="00C438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надходження лише однієї пропозиції;</w:t>
      </w:r>
    </w:p>
    <w:p w14:paraId="132FE17F" w14:textId="5C8C58D6" w:rsidR="003A70B5" w:rsidRPr="00C43883" w:rsidRDefault="003A70B5" w:rsidP="00C438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участь тільки одного учасника;</w:t>
      </w:r>
    </w:p>
    <w:p w14:paraId="75D6DD0C" w14:textId="6253D6AB" w:rsidR="003A70B5" w:rsidRPr="00C43883" w:rsidRDefault="003A70B5" w:rsidP="00C438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відхилення всіх пропозицій потенційних учасників/претендентів або у випадку якщо після відхилення пропозицій залишається менше двох таких пропозицій;</w:t>
      </w:r>
    </w:p>
    <w:p w14:paraId="4EEB0886" w14:textId="7E816829" w:rsidR="003A70B5" w:rsidRPr="00C43883" w:rsidRDefault="003A70B5" w:rsidP="00C4388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виявлення факту змови учасників/претендентів з метою впливу на результати конкурсу.</w:t>
      </w:r>
    </w:p>
    <w:p w14:paraId="350E184D" w14:textId="77777777" w:rsidR="0010385D" w:rsidRPr="00C43883" w:rsidRDefault="0010385D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309A7F" w14:textId="3640DFEB" w:rsidR="0010385D" w:rsidRPr="00C43883" w:rsidRDefault="0010385D" w:rsidP="00C43883">
      <w:pPr>
        <w:pStyle w:val="ListParagraph"/>
        <w:numPr>
          <w:ilvl w:val="1"/>
          <w:numId w:val="10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>У випадку прийняття Наглядовою радою рішення про визнання конкурсу таким, що не відбувся, для оголошення нового конкурсу мають бути здійснені всі дії відповідно до цього Положення.</w:t>
      </w:r>
    </w:p>
    <w:p w14:paraId="065270F7" w14:textId="77777777" w:rsidR="0010385D" w:rsidRPr="00C069F9" w:rsidRDefault="0010385D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6AB71BE4" w14:textId="7F878E48" w:rsidR="003A70B5" w:rsidRPr="00C43883" w:rsidRDefault="003A70B5" w:rsidP="00C4388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ЗАКЛЮЧНІ ПОЛОЖЕННЯ</w:t>
      </w:r>
    </w:p>
    <w:p w14:paraId="62EC7B82" w14:textId="77777777" w:rsidR="0010385D" w:rsidRPr="00C069F9" w:rsidRDefault="0010385D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1848E1F6" w14:textId="10407C56" w:rsidR="003A70B5" w:rsidRPr="00C43883" w:rsidRDefault="003A70B5" w:rsidP="00C43883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Порядок набирає чинності з дня його затвердження Наглядовою радою </w:t>
      </w:r>
      <w:r w:rsidR="00C43883" w:rsidRPr="00C4388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C43883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="0010385D" w:rsidRPr="00C438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3883">
        <w:rPr>
          <w:rFonts w:ascii="Times New Roman" w:hAnsi="Times New Roman" w:cs="Times New Roman"/>
          <w:sz w:val="24"/>
          <w:szCs w:val="24"/>
          <w:lang w:val="uk-UA"/>
        </w:rPr>
        <w:t>, якщо інше не передбачене рішенням Наглядової ради.</w:t>
      </w:r>
    </w:p>
    <w:p w14:paraId="392A070F" w14:textId="77777777" w:rsidR="0010385D" w:rsidRPr="00C069F9" w:rsidRDefault="0010385D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20A2B6D5" w14:textId="3582D09D" w:rsidR="003A70B5" w:rsidRPr="00CF02CD" w:rsidRDefault="003A70B5" w:rsidP="00CF02C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2CD">
        <w:rPr>
          <w:rFonts w:ascii="Times New Roman" w:hAnsi="Times New Roman" w:cs="Times New Roman"/>
          <w:sz w:val="24"/>
          <w:szCs w:val="24"/>
          <w:lang w:val="uk-UA"/>
        </w:rPr>
        <w:t>Зміни та доповнення до цього Порядку затверджуються Наглядовою радою та оформлюються шляхом його викладення в новій редакції. Положення нової редакції</w:t>
      </w:r>
      <w:r w:rsidR="0010385D" w:rsidRPr="00CF0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02CD">
        <w:rPr>
          <w:rFonts w:ascii="Times New Roman" w:hAnsi="Times New Roman" w:cs="Times New Roman"/>
          <w:sz w:val="24"/>
          <w:szCs w:val="24"/>
          <w:lang w:val="uk-UA"/>
        </w:rPr>
        <w:t>Порядку превалюють (мають переважну силу) над положеннями попередньої редакції</w:t>
      </w:r>
      <w:r w:rsidR="0010385D" w:rsidRPr="00CF0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02CD">
        <w:rPr>
          <w:rFonts w:ascii="Times New Roman" w:hAnsi="Times New Roman" w:cs="Times New Roman"/>
          <w:sz w:val="24"/>
          <w:szCs w:val="24"/>
          <w:lang w:val="uk-UA"/>
        </w:rPr>
        <w:t>(попередніми редакціями) Порядку. Прийняття нової редакції Порядку автоматично призводить до втрати чинності попередньої редакції якщо інше не визначено рішенням Наглядової ради.</w:t>
      </w:r>
    </w:p>
    <w:p w14:paraId="50015638" w14:textId="77777777" w:rsidR="0010385D" w:rsidRPr="00CF02CD" w:rsidRDefault="0010385D" w:rsidP="003A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B5D793" w14:textId="06273ECE" w:rsidR="003A70B5" w:rsidRPr="00CF02CD" w:rsidRDefault="003A70B5" w:rsidP="00CF02C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2CD">
        <w:rPr>
          <w:rFonts w:ascii="Times New Roman" w:hAnsi="Times New Roman" w:cs="Times New Roman"/>
          <w:sz w:val="24"/>
          <w:szCs w:val="24"/>
          <w:lang w:val="uk-UA"/>
        </w:rPr>
        <w:t>У разі протиріччя будь-якої частини Порядку законодавству України, в тому числі у зв’язку з прийняттям нових нормативно-правових актів, цей Порядок буде діяти лише в тій частині, що не суперечитиме законодавству.</w:t>
      </w:r>
    </w:p>
    <w:p w14:paraId="705196B5" w14:textId="77777777" w:rsidR="0010385D" w:rsidRPr="00C069F9" w:rsidRDefault="0010385D" w:rsidP="003A70B5">
      <w:pPr>
        <w:spacing w:after="0" w:line="240" w:lineRule="auto"/>
        <w:jc w:val="both"/>
        <w:rPr>
          <w:rFonts w:asciiTheme="majorHAnsi" w:hAnsiTheme="majorHAnsi"/>
          <w:highlight w:val="yellow"/>
          <w:lang w:val="uk-UA"/>
        </w:rPr>
      </w:pPr>
    </w:p>
    <w:p w14:paraId="36776CC9" w14:textId="41CC8AF8" w:rsidR="00BB4716" w:rsidRPr="00CF02CD" w:rsidRDefault="003A70B5" w:rsidP="00CF02C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02CD">
        <w:rPr>
          <w:rFonts w:ascii="Times New Roman" w:hAnsi="Times New Roman" w:cs="Times New Roman"/>
          <w:sz w:val="24"/>
          <w:szCs w:val="24"/>
          <w:lang w:val="uk-UA"/>
        </w:rPr>
        <w:t xml:space="preserve">Цей Порядок та зміни і доповнення до нього підлягають оприлюдненню на веб-сайті </w:t>
      </w:r>
      <w:r w:rsidR="0010385D" w:rsidRPr="00CF02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02CD" w:rsidRPr="00CF02C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24195" w:rsidRPr="00CF02CD">
        <w:rPr>
          <w:rFonts w:ascii="Times New Roman" w:hAnsi="Times New Roman" w:cs="Times New Roman"/>
          <w:sz w:val="24"/>
          <w:szCs w:val="24"/>
          <w:lang w:val="uk-UA"/>
        </w:rPr>
        <w:t>омпанії</w:t>
      </w:r>
      <w:r w:rsidRPr="00CF02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BB4716" w:rsidRPr="00CF02CD" w:rsidSect="00F3769A">
      <w:footerReference w:type="default" r:id="rId8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BEDE" w14:textId="77777777" w:rsidR="003F363C" w:rsidRDefault="003F363C" w:rsidP="00554294">
      <w:pPr>
        <w:spacing w:after="0" w:line="240" w:lineRule="auto"/>
      </w:pPr>
      <w:r>
        <w:separator/>
      </w:r>
    </w:p>
  </w:endnote>
  <w:endnote w:type="continuationSeparator" w:id="0">
    <w:p w14:paraId="2D6BAB8B" w14:textId="77777777" w:rsidR="003F363C" w:rsidRDefault="003F363C" w:rsidP="0055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125468"/>
      <w:docPartObj>
        <w:docPartGallery w:val="Page Numbers (Bottom of Page)"/>
        <w:docPartUnique/>
      </w:docPartObj>
    </w:sdtPr>
    <w:sdtEndPr/>
    <w:sdtContent>
      <w:p w14:paraId="4BD135B1" w14:textId="58488523" w:rsidR="00554294" w:rsidRDefault="005542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B9404F8" w14:textId="77777777" w:rsidR="00554294" w:rsidRDefault="0055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74B7" w14:textId="77777777" w:rsidR="003F363C" w:rsidRDefault="003F363C" w:rsidP="00554294">
      <w:pPr>
        <w:spacing w:after="0" w:line="240" w:lineRule="auto"/>
      </w:pPr>
      <w:r>
        <w:separator/>
      </w:r>
    </w:p>
  </w:footnote>
  <w:footnote w:type="continuationSeparator" w:id="0">
    <w:p w14:paraId="20C134DB" w14:textId="77777777" w:rsidR="003F363C" w:rsidRDefault="003F363C" w:rsidP="0055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A36"/>
    <w:multiLevelType w:val="hybridMultilevel"/>
    <w:tmpl w:val="A93A9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CE7"/>
    <w:multiLevelType w:val="multilevel"/>
    <w:tmpl w:val="6E4A7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7115E0"/>
    <w:multiLevelType w:val="hybridMultilevel"/>
    <w:tmpl w:val="3B860C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B4FAD"/>
    <w:multiLevelType w:val="hybridMultilevel"/>
    <w:tmpl w:val="DF74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7730"/>
    <w:multiLevelType w:val="hybridMultilevel"/>
    <w:tmpl w:val="C8EEF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3E4F"/>
    <w:multiLevelType w:val="hybridMultilevel"/>
    <w:tmpl w:val="36326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614"/>
    <w:multiLevelType w:val="hybridMultilevel"/>
    <w:tmpl w:val="A592835A"/>
    <w:lvl w:ilvl="0" w:tplc="B3A672A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9AB"/>
    <w:multiLevelType w:val="hybridMultilevel"/>
    <w:tmpl w:val="55BA34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E2081"/>
    <w:multiLevelType w:val="hybridMultilevel"/>
    <w:tmpl w:val="B2306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4A22"/>
    <w:multiLevelType w:val="hybridMultilevel"/>
    <w:tmpl w:val="803282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50A3"/>
    <w:multiLevelType w:val="multilevel"/>
    <w:tmpl w:val="6E4A7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8E5D09"/>
    <w:multiLevelType w:val="hybridMultilevel"/>
    <w:tmpl w:val="F55A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80C19"/>
    <w:multiLevelType w:val="hybridMultilevel"/>
    <w:tmpl w:val="D0420D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A4776B"/>
    <w:multiLevelType w:val="hybridMultilevel"/>
    <w:tmpl w:val="16D0AA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42185"/>
    <w:multiLevelType w:val="hybridMultilevel"/>
    <w:tmpl w:val="56509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40B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4C000D"/>
    <w:multiLevelType w:val="hybridMultilevel"/>
    <w:tmpl w:val="48E60D96"/>
    <w:lvl w:ilvl="0" w:tplc="B3A672A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15425"/>
    <w:multiLevelType w:val="hybridMultilevel"/>
    <w:tmpl w:val="E41A696A"/>
    <w:lvl w:ilvl="0" w:tplc="B3A672A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82AB0"/>
    <w:multiLevelType w:val="hybridMultilevel"/>
    <w:tmpl w:val="984C1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405DC"/>
    <w:multiLevelType w:val="hybridMultilevel"/>
    <w:tmpl w:val="DB363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C4D9F"/>
    <w:multiLevelType w:val="hybridMultilevel"/>
    <w:tmpl w:val="B816D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F52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F173D4"/>
    <w:multiLevelType w:val="hybridMultilevel"/>
    <w:tmpl w:val="B8008A46"/>
    <w:lvl w:ilvl="0" w:tplc="9E2EBA32">
      <w:numFmt w:val="bullet"/>
      <w:lvlText w:val="−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A723C"/>
    <w:multiLevelType w:val="hybridMultilevel"/>
    <w:tmpl w:val="65B68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C5E83"/>
    <w:multiLevelType w:val="hybridMultilevel"/>
    <w:tmpl w:val="14E4C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0325298">
    <w:abstractNumId w:val="14"/>
  </w:num>
  <w:num w:numId="2" w16cid:durableId="536117111">
    <w:abstractNumId w:val="22"/>
  </w:num>
  <w:num w:numId="3" w16cid:durableId="1783694371">
    <w:abstractNumId w:val="16"/>
  </w:num>
  <w:num w:numId="4" w16cid:durableId="1777362092">
    <w:abstractNumId w:val="17"/>
  </w:num>
  <w:num w:numId="5" w16cid:durableId="151265158">
    <w:abstractNumId w:val="3"/>
  </w:num>
  <w:num w:numId="6" w16cid:durableId="83497122">
    <w:abstractNumId w:val="13"/>
  </w:num>
  <w:num w:numId="7" w16cid:durableId="154690547">
    <w:abstractNumId w:val="6"/>
  </w:num>
  <w:num w:numId="8" w16cid:durableId="689450692">
    <w:abstractNumId w:val="18"/>
  </w:num>
  <w:num w:numId="9" w16cid:durableId="383988648">
    <w:abstractNumId w:val="23"/>
  </w:num>
  <w:num w:numId="10" w16cid:durableId="2000041332">
    <w:abstractNumId w:val="10"/>
  </w:num>
  <w:num w:numId="11" w16cid:durableId="1105534715">
    <w:abstractNumId w:val="11"/>
  </w:num>
  <w:num w:numId="12" w16cid:durableId="988288762">
    <w:abstractNumId w:val="5"/>
  </w:num>
  <w:num w:numId="13" w16cid:durableId="1848321715">
    <w:abstractNumId w:val="15"/>
  </w:num>
  <w:num w:numId="14" w16cid:durableId="2077122241">
    <w:abstractNumId w:val="21"/>
  </w:num>
  <w:num w:numId="15" w16cid:durableId="576329292">
    <w:abstractNumId w:val="0"/>
  </w:num>
  <w:num w:numId="16" w16cid:durableId="638655156">
    <w:abstractNumId w:val="9"/>
  </w:num>
  <w:num w:numId="17" w16cid:durableId="1119839336">
    <w:abstractNumId w:val="7"/>
  </w:num>
  <w:num w:numId="18" w16cid:durableId="769938144">
    <w:abstractNumId w:val="2"/>
  </w:num>
  <w:num w:numId="19" w16cid:durableId="2015377142">
    <w:abstractNumId w:val="12"/>
  </w:num>
  <w:num w:numId="20" w16cid:durableId="2008970194">
    <w:abstractNumId w:val="1"/>
  </w:num>
  <w:num w:numId="21" w16cid:durableId="1254168363">
    <w:abstractNumId w:val="24"/>
  </w:num>
  <w:num w:numId="22" w16cid:durableId="1851069024">
    <w:abstractNumId w:val="4"/>
  </w:num>
  <w:num w:numId="23" w16cid:durableId="36786150">
    <w:abstractNumId w:val="19"/>
  </w:num>
  <w:num w:numId="24" w16cid:durableId="1225263637">
    <w:abstractNumId w:val="20"/>
  </w:num>
  <w:num w:numId="25" w16cid:durableId="216362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5"/>
    <w:rsid w:val="00001DC8"/>
    <w:rsid w:val="00095BA4"/>
    <w:rsid w:val="000D2DB5"/>
    <w:rsid w:val="000F1430"/>
    <w:rsid w:val="0010385D"/>
    <w:rsid w:val="001A238B"/>
    <w:rsid w:val="001B3379"/>
    <w:rsid w:val="00205033"/>
    <w:rsid w:val="00266D6C"/>
    <w:rsid w:val="002D463D"/>
    <w:rsid w:val="00311A40"/>
    <w:rsid w:val="003A66E7"/>
    <w:rsid w:val="003A70B5"/>
    <w:rsid w:val="003F363C"/>
    <w:rsid w:val="00411E3B"/>
    <w:rsid w:val="00452467"/>
    <w:rsid w:val="00456E0A"/>
    <w:rsid w:val="00483F60"/>
    <w:rsid w:val="00486064"/>
    <w:rsid w:val="004C2F78"/>
    <w:rsid w:val="004D47D7"/>
    <w:rsid w:val="004E54D0"/>
    <w:rsid w:val="00554294"/>
    <w:rsid w:val="00654D49"/>
    <w:rsid w:val="00662798"/>
    <w:rsid w:val="006627C9"/>
    <w:rsid w:val="006E1091"/>
    <w:rsid w:val="00764F8B"/>
    <w:rsid w:val="00824841"/>
    <w:rsid w:val="00847037"/>
    <w:rsid w:val="00892318"/>
    <w:rsid w:val="009307E3"/>
    <w:rsid w:val="009661E3"/>
    <w:rsid w:val="0097724C"/>
    <w:rsid w:val="009E4D2D"/>
    <w:rsid w:val="00A84645"/>
    <w:rsid w:val="00A84CAB"/>
    <w:rsid w:val="00A9327F"/>
    <w:rsid w:val="00AD1C9A"/>
    <w:rsid w:val="00B06A51"/>
    <w:rsid w:val="00B514CD"/>
    <w:rsid w:val="00BB4716"/>
    <w:rsid w:val="00BD54B2"/>
    <w:rsid w:val="00BF2D4A"/>
    <w:rsid w:val="00C02F76"/>
    <w:rsid w:val="00C069F9"/>
    <w:rsid w:val="00C24F6F"/>
    <w:rsid w:val="00C43883"/>
    <w:rsid w:val="00C7380A"/>
    <w:rsid w:val="00CC551F"/>
    <w:rsid w:val="00CF02CD"/>
    <w:rsid w:val="00E24195"/>
    <w:rsid w:val="00E64D07"/>
    <w:rsid w:val="00ED60B7"/>
    <w:rsid w:val="00F0637D"/>
    <w:rsid w:val="00F3260B"/>
    <w:rsid w:val="00F3769A"/>
    <w:rsid w:val="00F71D18"/>
    <w:rsid w:val="00FD08EB"/>
    <w:rsid w:val="00FD481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5C9C"/>
  <w15:chartTrackingRefBased/>
  <w15:docId w15:val="{E11B13B7-1F83-4198-B7B6-5B778EB5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0B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0B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0B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0B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0B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0B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0B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0B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0B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A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0B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0B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A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0B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A7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0B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A70B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uiPriority w:val="22"/>
    <w:qFormat/>
    <w:rsid w:val="003A70B5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0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DC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C8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4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4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94"/>
    <w:rPr>
      <w:lang w:val="en-US"/>
    </w:rPr>
  </w:style>
  <w:style w:type="paragraph" w:styleId="Revision">
    <w:name w:val="Revision"/>
    <w:hidden/>
    <w:uiPriority w:val="99"/>
    <w:semiHidden/>
    <w:rsid w:val="00F0637D"/>
    <w:pPr>
      <w:spacing w:after="0" w:line="240" w:lineRule="auto"/>
    </w:pPr>
    <w:rPr>
      <w:lang w:val="en-US"/>
    </w:rPr>
  </w:style>
  <w:style w:type="character" w:customStyle="1" w:styleId="rvts44">
    <w:name w:val="rvts44"/>
    <w:basedOn w:val="DefaultParagraphFont"/>
    <w:rsid w:val="001A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15475</Words>
  <Characters>8821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Рибак Галина</dc:creator>
  <cp:keywords/>
  <dc:description/>
  <cp:lastModifiedBy>Anna Vovchenko</cp:lastModifiedBy>
  <cp:revision>2</cp:revision>
  <dcterms:created xsi:type="dcterms:W3CDTF">2024-11-05T11:58:00Z</dcterms:created>
  <dcterms:modified xsi:type="dcterms:W3CDTF">2024-11-05T11:58:00Z</dcterms:modified>
</cp:coreProperties>
</file>